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E08C2" w14:textId="77777777" w:rsidR="00CD7259" w:rsidRPr="00CD7259" w:rsidRDefault="00CD7259" w:rsidP="00CD7259">
      <w:pPr>
        <w:spacing w:after="0" w:line="240" w:lineRule="auto"/>
        <w:jc w:val="center"/>
        <w:rPr>
          <w:rFonts w:ascii="Times New Roman" w:eastAsia="Times New Roman" w:hAnsi="Times New Roman" w:cs="Times New Roman"/>
          <w:b/>
          <w:sz w:val="28"/>
          <w:szCs w:val="28"/>
          <w:lang w:val="en-US"/>
        </w:rPr>
      </w:pPr>
      <w:r w:rsidRPr="00CD7259">
        <w:rPr>
          <w:rFonts w:ascii="Times New Roman" w:eastAsia="Times New Roman" w:hAnsi="Times New Roman" w:cs="Times New Roman"/>
          <w:b/>
          <w:bCs/>
          <w:sz w:val="28"/>
          <w:szCs w:val="28"/>
          <w:lang w:val="en-US"/>
        </w:rPr>
        <w:t>ANALISIS PENGARUH KEBERADAAN TPA TERHADAP KENYAMANAN MASYARAKAT DISEKITAR LOKASI TPA TERJUN MARELAN</w:t>
      </w:r>
    </w:p>
    <w:p w14:paraId="36634DAD" w14:textId="28504934" w:rsidR="004D3C1C" w:rsidRPr="00E06443" w:rsidRDefault="004D3C1C" w:rsidP="00CD7259">
      <w:pPr>
        <w:spacing w:after="0" w:line="240" w:lineRule="auto"/>
        <w:jc w:val="center"/>
        <w:rPr>
          <w:rFonts w:ascii="Times New Roman" w:hAnsi="Times New Roman" w:cs="Times New Roman"/>
          <w:b/>
          <w:bCs/>
          <w:sz w:val="24"/>
          <w:szCs w:val="24"/>
          <w:vertAlign w:val="superscript"/>
          <w:lang w:val="en-US"/>
        </w:rPr>
      </w:pPr>
      <w:r w:rsidRPr="004D4CEA">
        <w:rPr>
          <w:rFonts w:ascii="Times New Roman" w:hAnsi="Times New Roman" w:cs="Times New Roman"/>
          <w:sz w:val="24"/>
          <w:szCs w:val="24"/>
        </w:rPr>
        <w:br/>
      </w:r>
      <w:r w:rsidR="00CD7259" w:rsidRPr="00CD7259">
        <w:rPr>
          <w:rFonts w:ascii="Times New Roman" w:hAnsi="Times New Roman" w:cs="Times New Roman"/>
          <w:b/>
          <w:bCs/>
          <w:sz w:val="24"/>
          <w:szCs w:val="24"/>
        </w:rPr>
        <w:t>Palma Juanta, Dian Enda Hapsari, Martogi Lumbantoruan, Shintya Wulandari Togatorop</w:t>
      </w:r>
    </w:p>
    <w:p w14:paraId="28F25130" w14:textId="71361AAD" w:rsidR="00CD7259" w:rsidRPr="00CD7259" w:rsidRDefault="004D3C1C" w:rsidP="00CD7259">
      <w:pPr>
        <w:pStyle w:val="Penulis"/>
        <w:contextualSpacing/>
      </w:pPr>
      <w:r w:rsidRPr="008155F6">
        <w:rPr>
          <w:b w:val="0"/>
          <w:vertAlign w:val="superscript"/>
          <w:lang w:val="id-ID"/>
        </w:rPr>
        <w:t>1</w:t>
      </w:r>
      <w:r w:rsidR="00CD7259">
        <w:rPr>
          <w:b w:val="0"/>
          <w:vertAlign w:val="superscript"/>
          <w:lang w:val="id-ID"/>
        </w:rPr>
        <w:t xml:space="preserve">,2,3,4 </w:t>
      </w:r>
      <w:r w:rsidR="00CD7259" w:rsidRPr="00CD7259">
        <w:rPr>
          <w:b w:val="0"/>
          <w:bCs/>
        </w:rPr>
        <w:t>Sistem Informasi, Universitas Prima Indonesia, Indonesia</w:t>
      </w:r>
    </w:p>
    <w:p w14:paraId="575858B2" w14:textId="233B7526" w:rsidR="00BB77EA" w:rsidRDefault="00E06443" w:rsidP="00CD7259">
      <w:pPr>
        <w:pStyle w:val="Penulis"/>
        <w:contextualSpacing/>
      </w:pPr>
      <w:r w:rsidRPr="00BF6063">
        <w:rPr>
          <w:b w:val="0"/>
          <w:sz w:val="20"/>
          <w:szCs w:val="20"/>
        </w:rPr>
        <w:t xml:space="preserve">*Penulis Korespondensi: </w:t>
      </w:r>
      <w:r w:rsidR="00CD7259" w:rsidRPr="00CD7259">
        <w:rPr>
          <w:b w:val="0"/>
          <w:sz w:val="20"/>
          <w:szCs w:val="20"/>
          <w:lang w:val="id-ID"/>
        </w:rPr>
        <w:t>palmajuanta@unprimdn.ac.id, Dianendahapsari75@gmail.com, martogisihombing53@gmail.com, shintyatogatorop9@gmail.com</w:t>
      </w:r>
    </w:p>
    <w:p w14:paraId="734F76B5" w14:textId="77777777" w:rsidR="00BB77EA" w:rsidRDefault="00BB77EA">
      <w:pPr>
        <w:spacing w:after="0" w:line="240" w:lineRule="auto"/>
        <w:rPr>
          <w:rFonts w:ascii="Times New Roman" w:eastAsia="Times New Roman" w:hAnsi="Times New Roman" w:cs="Times New Roman"/>
          <w:b/>
          <w:sz w:val="24"/>
          <w:szCs w:val="24"/>
        </w:rPr>
      </w:pPr>
    </w:p>
    <w:p w14:paraId="4A89F9FC" w14:textId="01D5CA99" w:rsidR="00BB77EA" w:rsidRPr="00CD7259" w:rsidRDefault="00390012">
      <w:pPr>
        <w:spacing w:after="0" w:line="240" w:lineRule="auto"/>
        <w:jc w:val="both"/>
        <w:rPr>
          <w:rFonts w:ascii="Times New Roman" w:eastAsia="Times New Roman" w:hAnsi="Times New Roman" w:cs="Times New Roman"/>
          <w:i/>
          <w:sz w:val="20"/>
          <w:szCs w:val="20"/>
          <w:lang w:val="en-US"/>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CD7259" w:rsidRPr="00CD7259">
        <w:rPr>
          <w:rFonts w:ascii="Times New Roman" w:eastAsia="Times New Roman" w:hAnsi="Times New Roman" w:cs="Times New Roman"/>
          <w:i/>
          <w:sz w:val="20"/>
          <w:szCs w:val="20"/>
          <w:lang w:val="en-US"/>
        </w:rPr>
        <w:t xml:space="preserve">A final disposal site (TPA) is a waste management facility that has the potential to impact environmental quality and the comfort of the surrounding community. This study aims to compare the comfort levels between residents living near (0–600 m) and far (700–1,000 m) from the Terjun Marelan TPA in Medan City. Using a comparative quantitative method, this study involved 40 respondents divided into two groups of 20 respondents each, selected through a purposive sampling technique. Data were collected through a questionnaire with 15 statements based on a four-level Likert scale covering five comfort indicators, then analyzed using an independent-samples t-test. Prior to hypothesis testing, a Kolmogorov-Smirnov normality test and a Levene's homogeneity test were conducted, both of which indicated that the parametric statistical assumptions were met. The results showed that the average comfort score of residents living near (49.20) was higher than that of residents living far (47.05). However, the statistical test showed a significance value of 0.285 (&gt;0.05), indicating no significant difference between the two groups. In conclusion, the distance from the landfill does not significantly affect the level of </w:t>
      </w:r>
      <w:proofErr w:type="gramStart"/>
      <w:r w:rsidR="00CD7259" w:rsidRPr="00CD7259">
        <w:rPr>
          <w:rFonts w:ascii="Times New Roman" w:eastAsia="Times New Roman" w:hAnsi="Times New Roman" w:cs="Times New Roman"/>
          <w:i/>
          <w:sz w:val="20"/>
          <w:szCs w:val="20"/>
          <w:lang w:val="en-US"/>
        </w:rPr>
        <w:t>community</w:t>
      </w:r>
      <w:proofErr w:type="gramEnd"/>
      <w:r w:rsidR="00CD7259" w:rsidRPr="00CD7259">
        <w:rPr>
          <w:rFonts w:ascii="Times New Roman" w:eastAsia="Times New Roman" w:hAnsi="Times New Roman" w:cs="Times New Roman"/>
          <w:i/>
          <w:sz w:val="20"/>
          <w:szCs w:val="20"/>
          <w:lang w:val="en-US"/>
        </w:rPr>
        <w:t xml:space="preserve"> comfort within the studied distance range. Environmental factors such as wind direction, as well as community habits and adaptation to the landfill's presence, likely play a larger role in shaping perceptions of comfort</w:t>
      </w:r>
      <w:r w:rsidRPr="002D44FA">
        <w:rPr>
          <w:rFonts w:ascii="Times New Roman" w:eastAsia="Times New Roman" w:hAnsi="Times New Roman" w:cs="Times New Roman"/>
          <w:i/>
          <w:sz w:val="20"/>
          <w:szCs w:val="20"/>
        </w:rPr>
        <w:t>.</w:t>
      </w:r>
    </w:p>
    <w:p w14:paraId="2A4818AE" w14:textId="77777777" w:rsidR="00BB77EA" w:rsidRPr="002D44FA" w:rsidRDefault="00BB77EA">
      <w:pPr>
        <w:spacing w:after="0" w:line="240" w:lineRule="auto"/>
        <w:jc w:val="both"/>
        <w:rPr>
          <w:rFonts w:ascii="Times New Roman" w:eastAsia="Times New Roman" w:hAnsi="Times New Roman" w:cs="Times New Roman"/>
          <w:i/>
          <w:sz w:val="20"/>
          <w:szCs w:val="20"/>
        </w:rPr>
      </w:pPr>
    </w:p>
    <w:p w14:paraId="13F5D26C" w14:textId="2D2478D1" w:rsidR="00BB77EA" w:rsidRDefault="00390012" w:rsidP="00CD7259">
      <w:pPr>
        <w:spacing w:after="0" w:line="240" w:lineRule="auto"/>
        <w:jc w:val="both"/>
        <w:rPr>
          <w:rFonts w:ascii="Times New Roman" w:eastAsia="Times New Roman" w:hAnsi="Times New Roman" w:cs="Times New Roman"/>
          <w:sz w:val="24"/>
          <w:szCs w:val="24"/>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CD7259" w:rsidRPr="00CD7259">
        <w:rPr>
          <w:rFonts w:ascii="Times New Roman" w:eastAsia="Times New Roman" w:hAnsi="Times New Roman" w:cs="Times New Roman"/>
          <w:i/>
          <w:sz w:val="20"/>
          <w:szCs w:val="20"/>
        </w:rPr>
        <w:t>residential distance; community comfort; comparative quantitative; Terjun Marelan Landfill; independent t-test</w:t>
      </w:r>
    </w:p>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1737D185" w14:textId="32902CD0"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CD7259" w:rsidRPr="00CD7259">
        <w:rPr>
          <w:rFonts w:ascii="Times New Roman" w:eastAsia="Times New Roman" w:hAnsi="Times New Roman" w:cs="Times New Roman"/>
          <w:sz w:val="20"/>
          <w:szCs w:val="20"/>
        </w:rPr>
        <w:t xml:space="preserve">Tempat Pembuangan Akhir (TPA) merupakan fasilitas pengelolaan sampah yang berpotensi memengaruhi kualitas lingkungan dan kenyamanan masyarakat di sekitarnya. Penelitian ini bertujuan membandingkan tingkat kenyamanan antara warga yang tinggal dekat (0–600 m) dan jauh (700–1.000 m) dari TPA Terjun Marelan di Kota Medan. Dengan metode kuantitatif komparatif, penelitian ini melibatkan 40 responden yang dibagi menjadi dua kelompok, masing-masing 20 responden, dan dipilih melalui teknik </w:t>
      </w:r>
      <w:r w:rsidR="00CD7259" w:rsidRPr="00CD7259">
        <w:rPr>
          <w:rFonts w:ascii="Times New Roman" w:eastAsia="Times New Roman" w:hAnsi="Times New Roman" w:cs="Times New Roman"/>
          <w:i/>
          <w:iCs/>
          <w:sz w:val="20"/>
          <w:szCs w:val="20"/>
        </w:rPr>
        <w:t>purposive sampling</w:t>
      </w:r>
      <w:r w:rsidR="00CD7259" w:rsidRPr="00CD7259">
        <w:rPr>
          <w:rFonts w:ascii="Times New Roman" w:eastAsia="Times New Roman" w:hAnsi="Times New Roman" w:cs="Times New Roman"/>
          <w:sz w:val="20"/>
          <w:szCs w:val="20"/>
        </w:rPr>
        <w:t>. Data dikumpulkan melalui kuesioner dengan 15 butir pernyataan berbasis skala Likert empat tingkat yang mencakup lima indikator kenyamanan, kemudian dianalisis menggunakan uji t sampel independen. Sebelum pengujian hipotesis, dilakukan uji normalitas Kolmogorov-Smirnov dan uji homogenitas Levene, yang keduanya menunjukkan bahwa asumsi statistik parametrik terpenuhi. Hasil penelitian menunjukkan bahwa rata-rata skor kenyamanan warga yang tinggal dekat (49,20) lebih tinggi dibandingkan dengan warga yang tinggal jauh (47,05). Meski begitu, uji statistik menunjukkan nilai signifikansi 0,285 (&gt;0,05), yang mengindikasikan tidak ada perbedaan signifikan antara kedua kelompok. Kesimpulannya, jarak tempat tinggal dari TPA tidak secara signifikan memengaruhi tingkat kenyamanan masyarakat dalam rentang jarak yang diteliti. Faktor lingkungan seperti arah angin serta kebiasaan dan adaptasi masyarakat terhadap keberadaan TPA kemungkinan memegang peranan lebih besar dalam membentuk persepsi kenyamanan.</w:t>
      </w:r>
      <w:r w:rsidRPr="002D44FA">
        <w:rPr>
          <w:rFonts w:ascii="Times New Roman" w:eastAsia="Times New Roman" w:hAnsi="Times New Roman" w:cs="Times New Roman"/>
          <w:sz w:val="20"/>
          <w:szCs w:val="20"/>
        </w:rPr>
        <w:t>.</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4C843B4" w14:textId="504B95EE" w:rsidR="00BB77EA" w:rsidRDefault="00390012" w:rsidP="00CD7259">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CD7259" w:rsidRPr="00CD7259">
        <w:rPr>
          <w:rFonts w:ascii="Times New Roman" w:eastAsia="Times New Roman" w:hAnsi="Times New Roman" w:cs="Times New Roman"/>
          <w:sz w:val="20"/>
          <w:szCs w:val="20"/>
        </w:rPr>
        <w:t>jarak tempat tinggal; kenyamanan masyarakat; kuantitatif komparatif; TPA Terjun Marelan; uji t independen.</w:t>
      </w:r>
    </w:p>
    <w:p w14:paraId="27A6510C" w14:textId="77777777" w:rsidR="00CD7259" w:rsidRDefault="00CD7259" w:rsidP="00CD7259">
      <w:pPr>
        <w:spacing w:after="0" w:line="240" w:lineRule="auto"/>
        <w:jc w:val="both"/>
        <w:rPr>
          <w:rFonts w:ascii="Times New Roman" w:eastAsia="Times New Roman" w:hAnsi="Times New Roman" w:cs="Times New Roman"/>
          <w:sz w:val="20"/>
          <w:szCs w:val="20"/>
        </w:rPr>
      </w:pPr>
    </w:p>
    <w:p w14:paraId="75E36367" w14:textId="77777777" w:rsidR="00CD7259" w:rsidRDefault="00CD7259" w:rsidP="00CD7259">
      <w:pPr>
        <w:spacing w:after="0" w:line="240" w:lineRule="auto"/>
        <w:jc w:val="both"/>
        <w:rPr>
          <w:rFonts w:ascii="Times New Roman" w:eastAsia="Times New Roman" w:hAnsi="Times New Roman" w:cs="Times New Roman"/>
          <w:b/>
          <w:sz w:val="24"/>
          <w:szCs w:val="24"/>
        </w:rPr>
      </w:pPr>
    </w:p>
    <w:p w14:paraId="7766918D" w14:textId="77777777" w:rsidR="00301F1E" w:rsidRDefault="00301F1E" w:rsidP="00CD7259">
      <w:pPr>
        <w:spacing w:after="0" w:line="240" w:lineRule="auto"/>
        <w:jc w:val="both"/>
        <w:rPr>
          <w:rFonts w:ascii="Times New Roman" w:eastAsia="Times New Roman" w:hAnsi="Times New Roman" w:cs="Times New Roman"/>
          <w:b/>
          <w:sz w:val="24"/>
          <w:szCs w:val="24"/>
        </w:rPr>
      </w:pPr>
    </w:p>
    <w:p w14:paraId="34EAB70C" w14:textId="77777777" w:rsidR="00301F1E" w:rsidRDefault="00301F1E" w:rsidP="00CD7259">
      <w:pPr>
        <w:spacing w:after="0" w:line="240" w:lineRule="auto"/>
        <w:jc w:val="both"/>
        <w:rPr>
          <w:rFonts w:ascii="Times New Roman" w:eastAsia="Times New Roman" w:hAnsi="Times New Roman" w:cs="Times New Roman"/>
          <w:b/>
          <w:sz w:val="24"/>
          <w:szCs w:val="24"/>
        </w:rPr>
      </w:pPr>
    </w:p>
    <w:p w14:paraId="01DA2EF4" w14:textId="03ECBF6D"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LATAR BELAKANG</w:t>
      </w:r>
    </w:p>
    <w:p w14:paraId="56FB4627"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Pertumbuhan penduduk perkotaan yang pesat berdampak langsung pada meningkatnya volume timbulan sampah. Kota Medan diperkirakan menghasilkan 1.200–1.700 ton sampah per hari pada tahun 2025, dengan estimasi akumulasi mencapai 2.735.631 m³. Tempat Pembuangan Akhir (TPA) merupakan komponen infrastruktur kritis dalam sistem pengelolaan persampahan perkotaan. Namun, operasionalnya kerap menimbulkan dampak negatif bagi lingkungan dan masyarakat sekitar, antara lain pencemaran udara, pencemaran air tanah, degradasi kualitas tanah, serta berkembangnya vektor penyakit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{"citationItems":[{"id":"ITEM-1","itemData":{"DOI":"10.55100/administrator.v6i2.92","ISSN":"1858-084X","abstract":"Tempat Pembuangan Akhir (TPA) di Kelurahan Kawa Tuna berfungsi sebagai solusi pengelolaan sampah, namun operasionalnya seringkali menimbulkan dampak negatif terhadap lingkungan, terutama pencemaran udara yang berupa bau busuk. Penelitian ini bertujuan untuk menganalisis dampak pencemaran udara dan lingkungan yang dihasilkan dari aktivitas di TPA serta efeknya terhadap kesehatan masyarakat. Metode penelitian yang digunakan adalah analisis kualitatif dengan survei persepsi masyarakat. Hasil penelitian menunjukkan bahwa bau busuk yang dihasilkan dari TPA dapat mengganggu kenyamanan dan kesehatan masyarakat sekitar. Penelitian ini menegaskan perlunya pengelolaan TPA yang lebih baik dan penerapan teknologi ramah lingkungan untuk meminimalkan dampak negatif terhadap kesehatan masyarakat dan lingkungan.","author":[{"dropping-particle":"","family":"Aura","given":"Audietya Chantieka","non-dropping-particle":"","parse-names":false,"suffix":""},{"dropping-particle":"","family":"Adriansa","given":"Muhammad Wandi","non-dropping-particle":"","parse-names":false,"suffix":""},{"dropping-particle":"","family":"Tala’a","given":"Nadia I","non-dropping-particle":"","parse-names":false,"suffix":""},{"dropping-particle":"","family":"Bakri","given":"Nuraini","non-dropping-particle":"","parse-names":false,"suffix":""},{"dropping-particle":"","family":"Mustainah","given":"Mustainah","non-dropping-particle":"","parse-names":false,"suffix":""},{"dropping-particle":"","family":"Kurnia","given":"Intam","non-dropping-particle":"","parse-names":false,"suffix":""},{"dropping-particle":"","family":"Haryono","given":"Dandan","non-dropping-particle":"","parse-names":false,"suffix":""}],"container-title":"Jurnal ADMINISTRATOR","id":"ITEM-1","issue":"2","issued":{"date-parts":[["2024"]]},"page":"134-139","title":"Analisis Dampak Pencemaran Udara Akibat Oprasional Tempat Pembuangan Akhir Sampah Di Kelurahan Kawatuna","type":"article-journal","volume":"6"},"uris":["http://www.mendeley.com/documents/?uuid=13df14b4-b5e2-4e60-bc1d-5cddbe16f7cc"]},{"id":"ITEM-2","itemData":{"DOI":"10.35965/ursj.v7i2.6275","abstract":"Tempat Pembuangan Akhir (TPA) Tamangapa di Kota Makassar telah menjadi pusat pengelolaan sampah utama sejak 1992. Namun, seiring meningkatnya jumlah penduduk dan volume sampah, TPA ini mengalami kelebihan kapasitas yang menimbulkan berbagai dampak terhadap masyarakat dan lingkungan sekitar. Penelitian ini bertujuan untuk mengidentifikasi dampak keberadaan TPA Tamangapa terhadap kondisi kehidupan masyarakat di sekitarnya. Metode yang digunakan adalah deskriptif kualitatif dengan teknik purposive sampling kepada 20 responden yang tinggal di wilayah terdampak. Data dikumpulkan melalui observasi, wawancara, dokumentasi, dan analisis spasial menggunakan metode IDW di aplikasi ARCMap. Hasil penelitian menunjukkan bahwa dampak utama yang dirasakan masyarakat meliputi pencemaran udara berupa bau menyengat, terutama saat musim hujan dan di wilayah timur TPA, serta terganggunya mobilitas akibat truk sampah yang parkir di bahu jalan. Penelitian ini menekankan perlunya perbaikan manajemen TPA, penataan infrastruktur pendukung, serta peningkatan kesadaran masyarakat terhadap kesehatan lingkungan The Tamangapa Final Disposal Site (TPA) in Makassar City has served as the primary waste management center since 1992. However, due to population growth and increasing waste volume, the site has exceeded its capacity, resulting in various environmental and social impacts on surrounding communities. This study aims to identify the effects of the Tamangapa landfill on the living conditions of nearby residents. A qualitative descriptive method was used, with purposive sampling applied to 20 respondents living in affected areas. Data were collected through observation, interviews, documentation, and spatial analysis using the IDW method in the ARCMap application. The findings reveal two major impacts: air pollution in the form of foul odors—especially during the rainy season and in areas east of the landfill—and disrupted community mobility caused by garbage trucks parked on the roadside due to a lack of proper parking facilities. The study emphasizes the need for improved landfill management, better infrastructure planning, and increased public awareness of environmental health","author":[{"dropping-particle":"","family":"Hasanuddin","given":"Andika Saputra","non-dropping-particle":"","parse-names":false,"suffix":""},{"dropping-particle":"","family":"Iskandar","given":"Doddy Aditya","non-dropping-particle":"","parse-names":false,"suffix":""}],"container-title":"Urban and Regional Studies Journal","id":"ITEM-2","issue":"2","issued":{"date-parts":[["2025"]]},"page":"236-243","title":"Dampak Keberadaan Tempat Pembuangan Akhir Tamangapa Terhadap Kondisi Kehidupan Masyarakat","type":"article-journal","volume":"7"},"uris":["http://www.mendeley.com/documents/?uuid=513050b3-869f-4f02-b377-70f53c5753e0"]},{"id":"ITEM-3","itemData":{"DOI":"10.56338/jks.v7i5.5254","author":[{"dropping-particle":"","family":"Prisilla","given":"Christin","non-dropping-particle":"","parse-names":false,"suffix":""},{"dropping-particle":"","family":"Insani","given":"Iftitah Nur","non-dropping-particle":"","parse-names":false,"suffix":""},{"dropping-particle":"","family":"Rizky","given":"Moh","non-dropping-particle":"","parse-names":false,"suffix":""},{"dropping-particle":"","family":"Syamsia","given":"Suridan","non-dropping-particle":"","parse-names":false,"suffix":""},{"dropping-particle":"","family":"Arsat","given":"Yusril","non-dropping-particle":"","parse-names":false,"suffix":""},{"dropping-particle":"","family":"Yusuf","given":"Herlina","non-dropping-particle":"","parse-names":false,"suffix":""}],"container-title":"Jurnal Kolaboratif Sains","id":"ITEM-3","issue":"5","issued":{"date-parts":[["2024"]]},"page":"1806-1812","title":"Analisis Dampak Pencemaran Lindi Tempat Pemrosesan Akhir ( TPA ) Desa Jononunu Terhadap Kualitas Air dan Lingkungan Perkebunan : Studi Literatur Analysis of the Impact of Leachate Pollution at the Final Processing Site ( TPA ) in Jononunu Village on Water","type":"article-journal","volume":"7"},"uris":["http://www.mendeley.com/documents/?uuid=f7cf89d6-2c10-42db-8f17-1a67f00f71ca"]}],"mendeley":{"formattedCitation":"(Aura et al., 2024; Hasanuddin &amp; Iskandar, 2025; Prisilla et al., 2024)","plainTextFormattedCitation":"(Aura et al., 2024; Hasanuddin &amp; Iskandar, 2025; Prisilla et al., 2024)","previouslyFormattedCitation":"(Aura et al., 2024; Hasanuddin &amp; Iskandar, 2025; Prisilla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(Aura et al., 2024; Hasanuddin &amp; Iskandar, 2025; Prisilla et al., 2024)</w:t>
      </w:r>
      <w:r w:rsidRPr="00CD7259">
        <w:rPr>
          <w:rFonts w:ascii="Times New Roman" w:eastAsia="Times New Roman" w:hAnsi="Times New Roman" w:cs="Times New Roman"/>
          <w:sz w:val="24"/>
          <w:szCs w:val="24"/>
        </w:rPr>
        <w:fldChar w:fldCharType="end"/>
      </w:r>
    </w:p>
    <w:p w14:paraId="00BF3AFC"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TPA Terjun Marelan yang berlokasi di Kelurahan Terjun, Kecamatan Medan Marelan, Kota Medan, merupakan salah satu TPA aktif yang menerima sampah dari berbagai wilayah Kota Medan. Masyarakat yang bermukim di sekitar TPA melaporkan sejumlah gangguan, di antaranya bau tidak sedap akibat dekomposisi sampah organik, pencemaran air lindi (</w:t>
      </w:r>
      <w:r w:rsidRPr="00CD7259">
        <w:rPr>
          <w:rFonts w:ascii="Times New Roman" w:eastAsia="Times New Roman" w:hAnsi="Times New Roman" w:cs="Times New Roman"/>
          <w:i/>
          <w:iCs/>
          <w:sz w:val="24"/>
          <w:szCs w:val="24"/>
          <w:lang w:val="en-US"/>
        </w:rPr>
        <w:t>leachate</w:t>
      </w:r>
      <w:r w:rsidRPr="00CD7259">
        <w:rPr>
          <w:rFonts w:ascii="Times New Roman" w:eastAsia="Times New Roman" w:hAnsi="Times New Roman" w:cs="Times New Roman"/>
          <w:sz w:val="24"/>
          <w:szCs w:val="24"/>
          <w:lang w:val="en-US"/>
        </w:rPr>
        <w:t xml:space="preserve">), kebisingan kendaraan pengangkut sampah, serta meningkatnya populasi vektor penyakit seperti lalat, nyamuk, dan tikus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{"citationItems":[{"id":"ITEM-1","itemData":{"ISBN":"9789896540821","author":[{"dropping-particle":"","family":"Farisa Hidayatullah","given":"Surahma Asti Mulasari","non-dropping-particle":"","parse-names":false,"suffix":""}],"container-title":"jurnal kesehatan","id":"ITEM-1","issue":"1","issued":{"date-parts":[["2020"]]},"page":"1-9","title":"No Gangguan Saluran Penapasan Akibat Pencemaran Udara di Lingkungan Tempat Pembuangan Akhir (TPA) Farisa","type":"article-journal","volume":"21"},"uris":["http://www.mendeley.com/documents/?uuid=f6c8dfd8-26aa-498d-94fa-041f0b5b9089"]},{"id":"ITEM-2","itemData":{"author":[{"dropping-particle":"","family":"Rampun","given":"Gina Julyesta","non-dropping-particle":"","parse-names":false,"suffix":""},{"dropping-particle":"","family":"Ramadhan","given":"M Rafli","non-dropping-particle":"","parse-names":false,"suffix":""},{"dropping-particle":"","family":"Suhaeb","given":"Firdaus W","non-dropping-particle":"","parse-names":false,"suffix":""}],"container-title":"Jurnal Pendidikan Multidisipliner","id":"ITEM-2","issue":"April","issued":{"date-parts":[["2025"]]},"page":"73-82","title":"Jurnal Pendidikan Multidisipliner PENGARUH PENCEMARAN UDARA DI LINGKUNGAN TPA ANTANG TERHADAP GANGGUAN SALURAN PERNAPASAN (LITERATURE REVIEW)","type":"article-journal","volume":"8"},"uris":["http://www.mendeley.com/documents/?uuid=4a56c9e1-accf-40b6-bcf6-3b0ebd228a60"]}],"mendeley":{"formattedCitation":"(Farisa Hidayatullah, 2020; Rampun et al., 2025)","plainTextFormattedCitation":"(Farisa Hidayatullah, 2020; Rampun et al., 2025)","previouslyFormattedCitation":"(Farisa Hidayatullah, 2020; Rampun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(Farisa Hidayatullah, 2020; Rampun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Kondisi tersebut secara keseluruhan berdampak pada kenyamanan masyarakat, yaitu sebuah konstruk multidimensional yang mencakup dimensi fisik, psikologis, dan sosial yang menunjukkan bahwa masyarakat sekitar menyadari adanya pencemaran udara dari aktivitas TPA, terutama berupa bau tidak sedap yang lebih terasa pada malam hari dan asap pembakaran sampah yang mengganggu kesehatan pernapasan warga sekitar.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{"citationItems":[{"id":"ITEM-1","itemData":{"DOI":"10.55606/jurrish.v4i3.5940","ISSN":"2828-7630","abstract":"Waste is a problem that needs attention because it can have a negative impact on the environment and human health. Medan City, including North Sumatra, has a waste management problem that has not been optimized. One of the landfills in Medan City is Terjun Landfill. Air pollution in the Terjun landfill area of Medan City is a serious problem that affects the quality of life of the surrounding community. This study aims to assess the community's perception of air pollution in the area, identify their level of awareness of the impact of air pollution, and assess community participation in pollution control efforts. The research method used is qualitative with data collection through interviews and direct observation to residents living around Terjun landfill. The results showed that the community is aware of air pollution from landfill activities, especially the unpleasant odor that is more pronounced at night and the smoke from burning waste that disturbs respiratory health. The community also considers that this air pollution has a negative impact on their health, such as respiratory problems and decreased quality of life.\r  ","author":[{"dropping-particle":"","family":"Putri Erma Yunita","given":"","non-dropping-particle":"","parse-names":false,"suffix":""},{"dropping-particle":"","family":"Aldian Setia Luhur","given":"","non-dropping-particle":"","parse-names":false,"suffix":""},{"dropping-particle":"","family":"Nurhalizah Pasha","given":"","non-dropping-particle":"","parse-names":false,"suffix":""},{"dropping-particle":"","family":"Hamidatus Salihah","given":"","non-dropping-particle":"","parse-names":false,"suffix":""},{"dropping-particle":"","family":"Sari Wulandari","given":"","non-dropping-particle":"","parse-names":false,"suffix":""}],"container-title":"Jurnal Riset Rumpun Ilmu Sosial, Politik dan Humaniora","id":"ITEM-1","issue":"3","issued":{"date-parts":[["2025"]]},"page":"512-519","title":"Perspektif Masyarakat terhadap Pencemaran Udara di Kawasan TPA Terjun Kota Medan","type":"article-journal","volume":"4"},"uris":["http://www.mendeley.com/documents/?uuid=22eee59c-223f-47e8-9975-1cb4a3388ad1"]}],"mendeley":{"formattedCitation":"(Putri Erma Yunita et al., 2025)","plainTextFormattedCitation":"(Putri Erma Yunita et al., 2025)","previouslyFormattedCitation":"(Putri Erma Yunita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(Putri Erma Yunita et al., 2025)</w:t>
      </w:r>
      <w:r w:rsidRPr="00CD7259">
        <w:rPr>
          <w:rFonts w:ascii="Times New Roman" w:eastAsia="Times New Roman" w:hAnsi="Times New Roman" w:cs="Times New Roman"/>
          <w:sz w:val="24"/>
          <w:szCs w:val="24"/>
        </w:rPr>
        <w:fldChar w:fldCharType="end"/>
      </w:r>
    </w:p>
    <w:p w14:paraId="43468FD7"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Berbagai penelitian terdahulu telah mendokumentasikan dampak negatif TPA terhadap kehidupan masyarakat.</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{"citationItems":[{"id":"ITEM-1","itemData":{"DOI":"10.55100/administrator.v6i2.92","ISSN":"1858-084X","abstract":"Tempat Pembuangan Akhir (TPA) di Kelurahan Kawa Tuna berfungsi sebagai solusi pengelolaan sampah, namun operasionalnya seringkali menimbulkan dampak negatif terhadap lingkungan, terutama pencemaran udara yang berupa bau busuk. Penelitian ini bertujuan untuk menganalisis dampak pencemaran udara dan lingkungan yang dihasilkan dari aktivitas di TPA serta efeknya terhadap kesehatan masyarakat. Metode penelitian yang digunakan adalah analisis kualitatif dengan survei persepsi masyarakat. Hasil penelitian menunjukkan bahwa bau busuk yang dihasilkan dari TPA dapat mengganggu kenyamanan dan kesehatan masyarakat sekitar. Penelitian ini menegaskan perlunya pengelolaan TPA yang lebih baik dan penerapan teknologi ramah lingkungan untuk meminimalkan dampak negatif terhadap kesehatan masyarakat dan lingkungan.","author":[{"dropping-particle":"","family":"Aura","given":"Audietya Chantieka","non-dropping-particle":"","parse-names":false,"suffix":""},{"dropping-particle":"","family":"Adriansa","given":"Muhammad Wandi","non-dropping-particle":"","parse-names":false,"suffix":""},{"dropping-particle":"","family":"Tala’a","given":"Nadia I","non-dropping-particle":"","parse-names":false,"suffix":""},{"dropping-particle":"","family":"Bakri","given":"Nuraini","non-dropping-particle":"","parse-names":false,"suffix":""},{"dropping-particle":"","family":"Mustainah","given":"Mustainah","non-dropping-particle":"","parse-names":false,"suffix":""},{"dropping-particle":"","family":"Kurnia","given":"Intam","non-dropping-particle":"","parse-names":false,"suffix":""},{"dropping-particle":"","family":"Haryono","given":"Dandan","non-dropping-particle":"","parse-names":false,"suffix":""}],"container-title":"Jurnal ADMINISTRATOR","id":"ITEM-1","issue":"2","issued":{"date-parts":[["2024"]]},"page":"134-139","title":"Analisis Dampak Pencemaran Udara Akibat Oprasional Tempat Pembuangan Akhir Sampah Di Kelurahan Kawatuna","type":"article-journal","volume":"6"},"uris":["http://www.mendeley.com/documents/?uuid=13df14b4-b5e2-4e60-bc1d-5cddbe16f7cc"]}],"mendeley":{"formattedCitation":"(Aura et al., 2024)","plainTextFormattedCitation":"(Aura et al., 2024)","previouslyFormattedCitation":"(Aura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(Aura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Menemukan bahwa operasional TPA di Kelurahan Kawatuna secara signifikan menurunkan kenyamanan masyarakat melalui pencemaran udara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{"citationItems":[{"id":"ITEM-1","itemData":{"DOI":"10.35965/ursj.v7i2.6275","abstract":"Tempat Pembuangan Akhir (TPA) Tamangapa di Kota Makassar telah menjadi pusat pengelolaan sampah utama sejak 1992. Namun, seiring meningkatnya jumlah penduduk dan volume sampah, TPA ini mengalami kelebihan kapasitas yang menimbulkan berbagai dampak terhadap masyarakat dan lingkungan sekitar. Penelitian ini bertujuan untuk mengidentifikasi dampak keberadaan TPA Tamangapa terhadap kondisi kehidupan masyarakat di sekitarnya. Metode yang digunakan adalah deskriptif kualitatif dengan teknik purposive sampling kepada 20 responden yang tinggal di wilayah terdampak. Data dikumpulkan melalui observasi, wawancara, dokumentasi, dan analisis spasial menggunakan metode IDW di aplikasi ARCMap. Hasil penelitian menunjukkan bahwa dampak utama yang dirasakan masyarakat meliputi pencemaran udara berupa bau menyengat, terutama saat musim hujan dan di wilayah timur TPA, serta terganggunya mobilitas akibat truk sampah yang parkir di bahu jalan. Penelitian ini menekankan perlunya perbaikan manajemen TPA, penataan infrastruktur pendukung, serta peningkatan kesadaran masyarakat terhadap kesehatan lingkungan The Tamangapa Final Disposal Site (TPA) in Makassar City has served as the primary waste management center since 1992. However, due to population growth and increasing waste volume, the site has exceeded its capacity, resulting in various environmental and social impacts on surrounding communities. This study aims to identify the effects of the Tamangapa landfill on the living conditions of nearby residents. A qualitative descriptive method was used, with purposive sampling applied to 20 respondents living in affected areas. Data were collected through observation, interviews, documentation, and spatial analysis using the IDW method in the ARCMap application. The findings reveal two major impacts: air pollution in the form of foul odors—especially during the rainy season and in areas east of the landfill—and disrupted community mobility caused by garbage trucks parked on the roadside due to a lack of proper parking facilities. The study emphasizes the need for improved landfill management, better infrastructure planning, and increased public awareness of environmental health","author":[{"dropping-particle":"","family":"Hasanuddin","given":"Andika Saputra","non-dropping-particle":"","parse-names":false,"suffix":""},{"dropping-particle":"","family":"Iskandar","given":"Doddy Aditya","non-dropping-particle":"","parse-names":false,"suffix":""}],"container-title":"Urban and Regional Studies Journal","id":"ITEM-1","issue":"2","issued":{"date-parts":[["2025"]]},"page":"236-243","title":"Dampak Keberadaan Tempat Pembuangan Akhir Tamangapa Terhadap Kondisi Kehidupan Masyarakat","type":"article-journal","volume":"7"},"uris":["http://www.mendeley.com/documents/?uuid=513050b3-869f-4f02-b377-70f53c5753e0"]}],"mendeley":{"formattedCitation":"(Hasanuddin &amp; Iskandar, 2025)","plainTextFormattedCitation":"(Hasanuddin &amp; Iskandar, 2025)","previouslyFormattedCitation":"(Hasanuddin &amp; Iskandar,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(Hasanuddin &amp; Iskandar,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mengidentifikasi kondisi </w:t>
      </w:r>
      <w:r w:rsidRPr="00CD7259">
        <w:rPr>
          <w:rFonts w:ascii="Times New Roman" w:eastAsia="Times New Roman" w:hAnsi="Times New Roman" w:cs="Times New Roman"/>
          <w:i/>
          <w:iCs/>
          <w:sz w:val="24"/>
          <w:szCs w:val="24"/>
          <w:lang w:val="en-US"/>
        </w:rPr>
        <w:t>overcapacity</w:t>
      </w:r>
      <w:r w:rsidRPr="00CD7259">
        <w:rPr>
          <w:rFonts w:ascii="Times New Roman" w:eastAsia="Times New Roman" w:hAnsi="Times New Roman" w:cs="Times New Roman"/>
          <w:sz w:val="24"/>
          <w:szCs w:val="24"/>
          <w:lang w:val="en-US"/>
        </w:rPr>
        <w:t xml:space="preserve"> di TPA Tamangapa Makassar sebagai pemicu gangguan bau dan hambatan mobilitas warga. Sementara itu,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{"citationItems":[{"id":"ITEM-1","itemData":{"author":[{"dropping-particle":"","family":"Rampun","given":"Gina Julyesta","non-dropping-particle":"","parse-names":false,"suffix":""},{"dropping-particle":"","family":"Ramadhan","given":"M Rafli","non-dropping-particle":"","parse-names":false,"suffix":""},{"dropping-particle":"","family":"Suhaeb","given":"Firdaus W","non-dropping-particle":"","parse-names":false,"suffix":""}],"container-title":"Jurnal Pendidikan Multidisipliner","id":"ITEM-1","issue":"April","issued":{"date-parts":[["2025"]]},"page":"73-82","title":"Jurnal Pendidikan Multidisipliner PENGARUH PENCEMARAN UDARA DI LINGKUNGAN TPA ANTANG TERHADAP GANGGUAN SALURAN PERNAPASAN (LITERATURE REVIEW)","type":"article-journal","volume":"8"},"uris":["http://www.mendeley.com/documents/?uuid=4a56c9e1-accf-40b6-bcf6-3b0ebd228a60"]}],"mendeley":{"formattedCitation":"(Rampun et al., 2025)","plainTextFormattedCitation":"(Rampun et al., 2025)","previouslyFormattedCitation":"(Rampun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(Rampun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menemukan adanya korelasi antara jarak tempat tinggal dari TPA dengan tingkat risiko gangguan saluran pernapasan. Meskipun demikian, kajian komparatif berbasis jarak yang mengukur tingkat kenyamanan masyarakat secara kuantitatif di sekitar TPA Terjun Marelan masih sangat terbatas. Oleh </w:t>
      </w:r>
      <w:r w:rsidRPr="00CD7259">
        <w:rPr>
          <w:rFonts w:ascii="Times New Roman" w:eastAsia="Times New Roman" w:hAnsi="Times New Roman" w:cs="Times New Roman"/>
          <w:sz w:val="24"/>
          <w:szCs w:val="24"/>
          <w:lang w:val="en-US"/>
        </w:rPr>
        <w:lastRenderedPageBreak/>
        <w:t>karena itu, penelitian mengenai perbedaan tingkat kenyamanan masyarakat berdasarkan jarak tempat tinggal dari TPA Terjun Marelan masih perlu dilakukan.</w:t>
      </w:r>
    </w:p>
    <w:p w14:paraId="4D702229" w14:textId="05091117" w:rsidR="00CD7259" w:rsidRDefault="00CD7259" w:rsidP="00CD7259">
      <w:pPr>
        <w:spacing w:before="120" w:after="0" w:line="360" w:lineRule="auto"/>
        <w:ind w:firstLine="562"/>
        <w:jc w:val="both"/>
        <w:rPr>
          <w:rFonts w:ascii="Times New Roman" w:eastAsia="Times New Roman" w:hAnsi="Times New Roman" w:cs="Times New Roman"/>
          <w:sz w:val="24"/>
          <w:szCs w:val="24"/>
        </w:rPr>
      </w:pPr>
      <w:r w:rsidRPr="00CD7259">
        <w:rPr>
          <w:rFonts w:ascii="Times New Roman" w:eastAsia="Times New Roman" w:hAnsi="Times New Roman" w:cs="Times New Roman"/>
          <w:sz w:val="24"/>
          <w:szCs w:val="24"/>
          <w:lang w:val="en-US"/>
        </w:rPr>
        <w:t>Berdasarkan uraian di atas, penelitian ini bertujuan untuk mengetahui apakah terdapat perbedaan tingkat kenyamanan masyarakat yang tinggal pada jarak dekat (0–600 m) dan jarak jauh (700–1.000 m) dari TPA Terjun Marelan, Kota Medan. Selain itu, penelitian ini juga bertujuan untuk mendeskripsikan tingkat kenyamanan masyarakat pada masing-masing kelompok berdasarkan jarak tempat tinggalnya. Hasil penelitian diharapkan dapat memberikan kontribusi bagi penyusunan kebijakan pengelolaan TPA.</w:t>
      </w:r>
    </w:p>
    <w:p w14:paraId="27A65350" w14:textId="122560E8"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311DAE2B"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Tempat Pembuangan Akhir</w:t>
      </w:r>
    </w:p>
    <w:p w14:paraId="5AAF6429"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Tempat Pembuangan Akhir (TPA) merupakan fasilitas penampungan dan pengelolaan sampah yang bersumber dari berbagai jenis kegiatan, baik skala rumah tangga maupun industri. Dalam sistem pengelolaan lingkungan modern, TPA tidak sekadar berfungsi sebagai tempat pembuangan akhir limbah padat, melainkan juga sebagai komponen terintegrasi dalam infrastruktur perkotaan yang bertujuan meminimalkan dampak negatif sampah terhadap kualitas lingkungan dan kesehatan masyarakat secara berkelanjutan.</w:t>
      </w:r>
    </w:p>
    <w:p w14:paraId="15A2701C"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Secara umum, terdapat tiga metode operasional TPA yang diterapkan di Indonesia, masing-masing dengan tingkat pengelolaan dan risiko lingkungan yang berbeda. Pertama, </w:t>
      </w:r>
      <w:r w:rsidRPr="00CD7259">
        <w:rPr>
          <w:rFonts w:ascii="Times New Roman" w:eastAsia="Times New Roman" w:hAnsi="Times New Roman" w:cs="Times New Roman"/>
          <w:i/>
          <w:iCs/>
          <w:sz w:val="24"/>
          <w:szCs w:val="24"/>
          <w:lang w:val="en-US"/>
        </w:rPr>
        <w:t>open dumping</w:t>
      </w:r>
      <w:r w:rsidRPr="00CD7259">
        <w:rPr>
          <w:rFonts w:ascii="Times New Roman" w:eastAsia="Times New Roman" w:hAnsi="Times New Roman" w:cs="Times New Roman"/>
          <w:sz w:val="24"/>
          <w:szCs w:val="24"/>
          <w:lang w:val="en-US"/>
        </w:rPr>
        <w:t xml:space="preserve"> yaitu metode pembuangan sampah secara terbuka tanpa perlakuan pengolahan atau penutupan khusus. TPA Terjun Marelan masih didominasi oleh sistem ini yang belum dikelola secara optimal, sehingga menyebabkan ketidakseimbangan ekologis di wilayah sekitarnya, termasuk penurunan kualitas lingkungan dan gangguan kesehatan bagi masyarakat yang bermukim di sekitar lokasi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{"citationItems":[{"id":"ITEM-1","itemData":{"abstract":"Garbage become problem complex in life urban areas , especially in Medan as Mother city North Sumatra Province . Research This analyze impact management Trash in Place Disposal End (TPA) Terjun , Medan Marelan District , regarding environment surrounding area . Method study use approach qualitative with technique observation , interviews , and studies documentation . Research results show that TPA Terjun has area 14 hectares Not yet managed optimally , with the dominant open dumping system . The impacts that arise covering groundwater pollution , pollution air , disturb- ance aesthetics , as well as improvement vector disease . Findings This reinforced by BPS data (2018) which shows density Medan 's population reached 8,342 people /km², correlated with high volume of waste . Research This recommend implementation system management rubbish integrated based on principle health environment and economy circular For reduce impact negative . Keywords:","author":[{"dropping-particle":"","family":"Yenny","given":"Novida","non-dropping-particle":"","parse-names":false,"suffix":""},{"dropping-particle":"","family":"Putra","given":"Mulhady","non-dropping-particle":"","parse-names":false,"suffix":""},{"dropping-particle":"","family":"Simamora","given":"Nurida Hana","non-dropping-particle":"","parse-names":false,"suffix":""},{"dropping-particle":"","family":"Turnip","given":"Pinta Yosepin","non-dropping-particle":"","parse-names":false,"suffix":""}],"container-title":"Research Article","id":"ITEM-1","issued":{"date-parts":[["2025"]]},"title":"Momentum Matrix : International Journal of Communication , Tourism , Ecological Inequality of Village-City : Study of the Operational Impact of Terjun Medan Landfill on Environmental Quality and Public Health of Surrounding Villages","type":"article-journal"},"uris":["http://www.mendeley.com/documents/?uuid=73e3d789-5284-4fb8-885b-0476a2221216"]}],"mendeley":{"formattedCitation":"(Yenny et al., 2025)","plainTextFormattedCitation":"(Yenny et al., 2025)","previouslyFormattedCitation":"(Yenny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(Yenny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Kedua, </w:t>
      </w:r>
      <w:r w:rsidRPr="00CD7259">
        <w:rPr>
          <w:rFonts w:ascii="Times New Roman" w:eastAsia="Times New Roman" w:hAnsi="Times New Roman" w:cs="Times New Roman"/>
          <w:i/>
          <w:iCs/>
          <w:sz w:val="24"/>
          <w:szCs w:val="24"/>
          <w:lang w:val="en-US"/>
        </w:rPr>
        <w:t>controlled landfill</w:t>
      </w:r>
      <w:r w:rsidRPr="00CD7259">
        <w:rPr>
          <w:rFonts w:ascii="Times New Roman" w:eastAsia="Times New Roman" w:hAnsi="Times New Roman" w:cs="Times New Roman"/>
          <w:sz w:val="24"/>
          <w:szCs w:val="24"/>
          <w:lang w:val="en-US"/>
        </w:rPr>
        <w:t xml:space="preserve">, yaitu metode penimbunan sampah yang disertai pengurugan berkala menggunakan tanah guna menekan bau tidak sedap dan menghambat proliferasi vektor penyakit. Meskipun lebih baik daripada </w:t>
      </w:r>
      <w:r w:rsidRPr="00CD7259">
        <w:rPr>
          <w:rFonts w:ascii="Times New Roman" w:eastAsia="Times New Roman" w:hAnsi="Times New Roman" w:cs="Times New Roman"/>
          <w:i/>
          <w:iCs/>
          <w:sz w:val="24"/>
          <w:szCs w:val="24"/>
          <w:lang w:val="en-US"/>
        </w:rPr>
        <w:t>open dumping</w:t>
      </w:r>
      <w:r w:rsidRPr="00CD7259">
        <w:rPr>
          <w:rFonts w:ascii="Times New Roman" w:eastAsia="Times New Roman" w:hAnsi="Times New Roman" w:cs="Times New Roman"/>
          <w:sz w:val="24"/>
          <w:szCs w:val="24"/>
          <w:lang w:val="en-US"/>
        </w:rPr>
        <w:t xml:space="preserve">, metode ini tetap berpotensi menyebabkan pencemaran udara, air, dan tanah yang berdampak langsung terhadap kesehatan masyarakat di sekitar TPA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{"citationItems":[{"id":"ITEM-1","itemData":{"DOI":"10.1007/s11356-022-21578-z","ISSN":"16147499","PMID":"35778661","abstract":"Landfilling is one of the most common waste management methods employed in all countries alike, irrespective of their developmental status. The most commonly used types of landfills are (a) municipal solid waste landfill, (b) industrial waste landfill, and (c) hazardous waste landfill. There is, also, an emerging landfill type called “green waste landfill” that is, occasionally, being used. Most landfills, including those discussed in this review article, are controlled and engineered establishments, wherein the waste ought to abide with certain regulations regarding their quality and quantity. However, illegal and uncontrolled “landfills” (mostly known as open dumpsites) are, unfortunately, prevalent in many developing countries. Due to the widespread use of landfilling, even as of today, it is imperative to examine any environmental- and/or health-related issues that have emerged. The present study seeks to determine the environmental pollution and health effects associated with waste landfilling by adopting a desk review design. It is revealed that landfilling is associated with various environmental pollution problems, namely, (a) underground water pollution due to the leaching of organic, inorganic, and various other substances of concern (SoC) contained in the waste, (b) air pollution due to suspension of particles, (c) odor pollution from the deposition of municipal solid waste (MSW), and (d) even marine pollution from any potential run-offs. Furthermore, health impacts may occur through the pollution of the underground water and the emissions of gases, leading to carcinogenic and non-carcinogenic effects of the exposed population living in their vicinity. Graphical abstract: [Figure not available: see fulltext.]","author":[{"dropping-particle":"","family":"Siddiqua","given":"Ayesha","non-dropping-particle":"","parse-names":false,"suffix":""},{"dropping-particle":"","family":"Hahladakis","given":"John N.","non-dropping-particle":"","parse-names":false,"suffix":""},{"dropping-particle":"","family":"Al-Attiya","given":"Wadha Ahmed K.A.","non-dropping-particle":"","parse-names":false,"suffix":""}],"container-title":"Environmental Science and Pollution Research","id":"ITEM-1","issue":"39","issued":{"date-parts":[["2022"]]},"page":"58514-58536","publisher":"Springer Berlin Heidelberg","title":"An overview of the environmental pollution and health effects associated with waste landfilling and open dumping","type":"article-journal","volume":"29"},"uris":["http://www.mendeley.com/documents/?uuid=b19e6f0f-a4e4-4f4e-88f5-6680cbf2c036"]}],"mendeley":{"formattedCitation":"(Siddiqua et al., 2022)","plainTextFormattedCitation":"(Siddiqua et al., 2022)","previouslyFormattedCitation":"(Siddiqua et al., 2022)"},"properties":{"noteIndex":0},"schema":"https://github.com/citation-style-language/schema/raw/master/csl-citation.json"}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(Siddiqua et al., 2022)</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Ketiga, </w:t>
      </w:r>
      <w:r w:rsidRPr="00CD7259">
        <w:rPr>
          <w:rFonts w:ascii="Times New Roman" w:eastAsia="Times New Roman" w:hAnsi="Times New Roman" w:cs="Times New Roman"/>
          <w:i/>
          <w:iCs/>
          <w:sz w:val="24"/>
          <w:szCs w:val="24"/>
          <w:lang w:val="en-US"/>
        </w:rPr>
        <w:t>sanitary landfill</w:t>
      </w:r>
      <w:r w:rsidRPr="00CD7259">
        <w:rPr>
          <w:rFonts w:ascii="Times New Roman" w:eastAsia="Times New Roman" w:hAnsi="Times New Roman" w:cs="Times New Roman"/>
          <w:sz w:val="24"/>
          <w:szCs w:val="24"/>
          <w:lang w:val="en-US"/>
        </w:rPr>
        <w:t xml:space="preserve">, yakni metode paling modern yang dilengkapi dengan sistem pengolahan air lindi </w:t>
      </w:r>
      <w:r w:rsidRPr="00CD7259">
        <w:rPr>
          <w:rFonts w:ascii="Times New Roman" w:eastAsia="Times New Roman" w:hAnsi="Times New Roman" w:cs="Times New Roman"/>
          <w:sz w:val="24"/>
          <w:szCs w:val="24"/>
          <w:lang w:val="en-US"/>
        </w:rPr>
        <w:lastRenderedPageBreak/>
        <w:t>(</w:t>
      </w:r>
      <w:r w:rsidRPr="00CD7259">
        <w:rPr>
          <w:rFonts w:ascii="Times New Roman" w:eastAsia="Times New Roman" w:hAnsi="Times New Roman" w:cs="Times New Roman"/>
          <w:i/>
          <w:iCs/>
          <w:sz w:val="24"/>
          <w:szCs w:val="24"/>
          <w:lang w:val="en-US"/>
        </w:rPr>
        <w:t>leachate</w:t>
      </w:r>
      <w:r w:rsidRPr="00CD7259">
        <w:rPr>
          <w:rFonts w:ascii="Times New Roman" w:eastAsia="Times New Roman" w:hAnsi="Times New Roman" w:cs="Times New Roman"/>
          <w:sz w:val="24"/>
          <w:szCs w:val="24"/>
          <w:lang w:val="en-US"/>
        </w:rPr>
        <w:t xml:space="preserve">) serta penangkapan gas metana, sehingga dampak lingkungan yang dihasilkan jauh lebih minim dibandingkan dengan dua metode sebelumnya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{"citationItems":[{"id":"ITEM-1","itemData":{"DOI":"10.31004/jkt.v5i4.37614","ISSN":"2777-0524","abstract":"Tempat Pemrosesan Akhir (TPA) di Kecamatan Alak dibangun pada tahun 1997 dan mulai beroperasi sejak tahun 1998 merupakan fasilitas persampahan utama di Kota Kupang. TPA Alak memiliki luas 9,14 Ha. Jarak tempuh ke TPA Alak dari pusat kota ± 16 Km. Dengan produksi sampah di tahun 2018 mencapai 100 ton/hari dan meningkat menjadi 200 ton/ hari di musim penghujan. Dalam perjalanannya, aktifitas pengolahan sampah di lokasi TPA Alak pasti menimbulkan dampak terhadap lingkungan sekitar. Di Kota Kupang, pengolahan sampah di TPA dilakukan melalui metode seperti sanitary landfill dan controlled landfill. Penelitian ini bertujuan memberikan gambaran mengenai pengolahan sampah di TPA Alak, Kota Kupang. Metode yang digunakan adalah deskriptif kualitatif, dengan data diperoleh melalui observasi langsung dan wawancara menggunakan kuesioner. Hasil penelitian menunjukkan bahwa pengolahan sampah di TPA Alak berjalan cukup baik tetapi belum optimal. Kendala yang dihadapi mencakup faktor sosial, ekonomi, serta keterbatasan sarana dan prasarana. Faktor sosial mencakup kurangnya kesadaran masyarakat akan pentingnya pengelolaan sampah yang benar. Secara ekonomi, terbatasnya anggaran untuk pengelolaan sampah memengaruhi efektivitas operasional. Keterbatasan sarana dan prasarana, seperti kurangnya alat berat atau fasilitas pendukung, juga menjadi tantangan utama. Meskipun demikian, penggunaan metode sanitary landfill dan controlled landfill telah membantu mengurangi dampak buruk terhadap lingkungan. Keberlanjutan pengelolaan sampah di TPA Alak membutuhkan upaya perbaikan, baik melalui peningkatan fasilitas, alokasi anggaran, maupun edukasi kepada masyarakat tentang pentingnya pengelolaan sampah yang berkelanjutan.","author":[{"dropping-particle":"","family":"Sabneno","given":"Ade Shianti","non-dropping-particle":"","parse-names":false,"suffix":""},{"dropping-particle":"","family":"Faot","given":"Maria Irena","non-dropping-particle":"","parse-names":false,"suffix":""},{"dropping-particle":"","family":"Arkian","given":"Teobaldus Andrianus","non-dropping-particle":"","parse-names":false,"suffix":""},{"dropping-particle":"","family":"Purimahua","given":"Shinta L.","non-dropping-particle":"","parse-names":false,"suffix":""}],"container-title":"Jurnal Kesehatan Tambusai","id":"ITEM-1","issue":"4","issued":{"date-parts":[["2024"]]},"page":"12518-12524","title":"Gambaran Umum Pengolahan Sampah Di Tpa Alak Kota Kupang","type":"article-journal","volume":"5"},"uris":["http://www.mendeley.com/documents/?uuid=b91a628e-e9da-48e3-b3c6-8e9a1ecbf73d"]}],"mendeley":{"formattedCitation":"(Sabneno et al., 2024)","plainTextFormattedCitation":"(Sabneno et al., 2024)","previouslyFormattedCitation":"(Sabneno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(Sabneno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Pemilihan metode operasional TPA sangat menentukan sejauh mana dampak negatifnya dapat dikendalikan, baik terhadap kualitas lingkungan maupun terhadap kenyamanan masyarakat sekitar.</w:t>
      </w:r>
    </w:p>
    <w:p w14:paraId="13B39547"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Dampak Keberadaan TPA</w:t>
      </w:r>
    </w:p>
    <w:p w14:paraId="6B72739F"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Keberadaan TPA memberikan dampak yang bersifat ganda, yaitu dampak positif sekaligus dampak negatif bagi masyarakat dan lingkungan sekitarnya. Di satu sisi, TPA berperan penting dalam pengelolaan sampah secara terpusat, membuka lapangan kerja bagi masyarakat sekitar, serta berpotensi menghasilkan produk bernilai ekonomi seperti kompos dan energi biogas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{"citationItems":[{"id":"ITEM-1","itemData":{"DOI":"10.30743/mkd.v7i1.6464","ISSN":"2614-1159","abstract":"This study aimed to examine how the establishment of a Final Processing Site (TPA) and subsequent waste processing has influenced the local economy and social life of the Cipayung Village, Depok, West Java community. The methodological approach was qualitative and descriptive. Six residents, two TPA administrators, and the RT and RW heads of the area, participated in the study. The results of a thematic analysis of research data indicate that: 1) Environmental degradation caused by the TPA has an effect on people' daily routines; and 2) The existence of the TPA has created new employment prospects; 3) TPA administration facilitates the implementation of numerous activities, hence enhancing social interaction between people; 4) The presence of a TPA improves the socioeconomic well-being of community members. The local community, the TPA management and government must collaborate to safeguard their environment so that environmental issues generated by the establishment of the Cipayung TPA do not recur, and to maximize opportunities so that the Cipayung TPA becomes an innovation capable of promoting community welfare.","author":[{"dropping-particle":"","family":"Annidia","given":"Fika Sidqia","non-dropping-particle":"","parse-names":false,"suffix":""},{"dropping-particle":"","family":"Rahiem","given":"Maila D.H.","non-dropping-particle":"","parse-names":false,"suffix":""},{"dropping-particle":"","family":"Nourwahida","given":"Cut Dhien","non-dropping-particle":"","parse-names":false,"suffix":""}],"container-title":"MUKADIMAH: Jurnal Pendidikan, Sejarah, dan Ilmu-ilmu Sosial","id":"ITEM-1","issue":"1","issued":{"date-parts":[["2023"]]},"page":"1-11","title":"Dampak Sosial Ekonomi dari Pendirian Tempat Pemrosesan Akhir (TPA) dan Pemrosesan Sampah bagi Masyarakat Cipayung, Depok, Jawa Barat","type":"article-journal","volume":"7"},"uris":["http://www.mendeley.com/documents/?uuid=43b65e96-2947-49be-8d3e-f41eee0f24cc"]},{"id":"ITEM-2","itemData":{"DOI":"10.37373/bemas.v6i2.1684","ISSN":"2745-5866","abstract":"TPA singkatan dari Tempat Pembuangan Akhir yang merupakan tempat untuk memproses sampah dan mengembalikannya ke lingkungan secara aman. TPA merupakan tempat dimana sampah mencapai tahap terakhir dalam pengelolaannya sejak mulai pengumpulan, pengangkutan serta pengolahan dan pembuangan. Tujuan penelitian ini adalah untuk mengetahui dampak keberadaan tempat pembuangan akhir (TPA) terhadap kesejahteraan masyarakat di sekitar TPA Karangdieng Kabupaten Mojokerto. Metode dalam penelitian ini menggunakan kualitatif dengan jenis penelitian field research. Field research adalah penelitian lapangan dengan memanfaatkan informasi yang bersumber dari responden melalui instrumen pengumpulan data seperti wawancara, observasi dan sebagainya. Penelitian ini dilakukan pada masyarakat di daerah dusun sumberingin. Hasil dari penelitian ini keberadaan TPA masyarakat Kampung Sumberingin telah membawa dampak yang kompleks terhadap sosial ekonomi masyarakat. Meskipun menghadapi tantangan, masyarakat berhasil beradaptasi dengan membangun solidaritas dan kerjasama yang kuat. Pekerjaan sebagai pemulung tidak hanya menjadi sumber penghasilan tambahan tetapi juga menciptakan kesadaran akan pentingnya pengelolaan sampah yang baik. Hal ini mencerminkan ketahanan masyarakat dalam menghadapi tantangan dan pentingnya dukungan sosial dalam meningkatkan kesejahteraan bersama. Dalam risiko kesehatan akibat keberadaan TPA, seperti penyakit menular dari sampah dan gangguan pernapasan akibat bau, masyarakat Dusun Sumberingin menunjukkan ketahanan dan kemampuan untuk beradaptasi. Kualitas udara yang rendah dapat mempengaruhi kesehatan, tetapi warga telah belajar untuk hidup dengan kondisi tersebut. Mereka tetap menjalani aktivitas sehari-hari tanpa merasa terganggu oleh bau yang dihasilkan dari tempat pembuangan akhir sampah. Meskipun ada keluhan mengenai pencemaran, masyarakat tetap berusaha menjaga kesehatan dan kebersihan lingkungan mereka. Oleh karena itu, penting bagi pengelola TPA untuk terus meningkatkan praktik pengelolaan sampah yang lebih baik guna meminimalkan dampak negatif terhadap kesehatan masyarakat.","author":[{"dropping-particle":"","family":"Kamaliya","given":"Nabila","non-dropping-particle":"","parse-names":false,"suffix":""}],"container-title":"BEMAS: Jurnal Bermasyarakat","id":"ITEM-2","issue":"2","issued":{"date-parts":[["2026"]]},"page":"230-236","title":"Dampak keberadaan tempat pembuangan akhir sampah terhadap kesejahteraan masyarakat sekitar TPA Karangdieng Kabupaten Mojokerto","type":"article-journal","volume":"6"},"uris":["http://www.mendeley.com/documents/?uuid=7b76fcbd-dbf0-4f1d-9bcb-0d8ab1e38edb"]}],"mendeley":{"formattedCitation":"(Annidia et al., 2023; Kamaliya, 2026)","plainTextFormattedCitation":"(Annidia et al., 2023; Kamaliya, 2026)","previouslyFormattedCitation":"(Annidia et al., 2023; Kamaliya, 2026)"},"properties":{"noteIndex":0},"schema":"https://github.com/citation-style-language/schema/raw/master/csl-citation.json"}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(Annidia et al., 2023; Kamaliya, 2026)</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Lebih lanjut, keberadaan TPA turut mendorong pertumbuhan sektor ekonomi informal di lingkungan sekitarnya. Aktivitas seperti pemulung dan pengumpul barang bekas memanfaatkan limbah sebagai sumber penghasilan, sehingga secara tidak langsung berkontribusi terhadap keberlangsungan ekonomi rumah tangga warga yang tinggal di sekitar lokasi TPA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{"citationItems":[{"id":"ITEM-1","itemData":{"DOI":"10.47175/rissj.v4i3.769","ISSN":"2722-5666","abstract":"In Indonesia, waste has become a national issue due to the old view that waste management is only collected, transferred, and disposed of in landfills. Several big cities in Indonesia also face the same problem. The open dumping of waste at the landfill in TPA Terjun Medan Marelan has resulted in negative environmental externalities that continue to get worse for the people living in the vicinity. The external costs of TPA Terjun Medan Marelan will be studied in this study. Residents living around the TPA are the research subjects. In this study, replacement costs and the cost of illness will be determined as a logical tool for calculating the total cost of externalities. Externality costs at the TPA Terjun Medan Marelan are calculated using benefit transfers. Given the difficulties and high costs associated with valuing actual costs, the benefit transfer method was developed as an alternative method for assessing externalities using scores from studies of similar circumstances or characteristics conducted elsewhere. This study focuses on estimating the costs of externalities related to the feasibility of a waste power plant (PLTSa) project using the benefit transfer method from the PLTSa project at TPA Benowo Surabaya, which is then applied to the PLTSa project plan at TPA Terjun Medan Marelan. The study found that the existence of the TPA Benowo Surabaya has a negative impact not only on the environment of the residents but also on its social and economic aspects. Then the researchers also found that there was also a negative impact from PLTSa in TPA Terjun Medan Marelan","author":[{"dropping-particle":"","family":"Fadli","given":"Hidayah","non-dropping-particle":"","parse-names":false,"suffix":""},{"dropping-particle":"","family":"Gravitiani","given":"Evi","non-dropping-particle":"","parse-names":false,"suffix":""},{"dropping-particle":"","family":"Rahardjo","given":"Mugi","non-dropping-particle":"","parse-names":false,"suffix":""}],"container-title":"Randwick International of Social Science Journal","id":"ITEM-1","issue":"3","issued":{"date-parts":[["2023"]]},"page":"670-678","title":"Externality Value of Waste Power Plant (PLTSa) in TPA Terjun Medan Marelan Using Benefit Transfer Method","type":"article-journal","volume":"4"},"uris":["http://www.mendeley.com/documents/?uuid=fb6c310d-505f-4d24-9269-22450726661c"]}],"mendeley":{"formattedCitation":"(Fadli et al., 2023)","plainTextFormattedCitation":"(Fadli et al., 2023)","previouslyFormattedCitation":"(Fadli et al., 2023)"},"properties":{"noteIndex":0},"schema":"https://github.com/citation-style-language/schema/raw/master/csl-citation.json"}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(Fadli et al., 2023)</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w:t>
      </w:r>
    </w:p>
    <w:p w14:paraId="20CA88C2"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Di sisi lain, operasional TPA juga menimbulkan sejumlah dampak negatif yang tidak dapat diabaikan. Pertama, pencemaran air tanah akibat rembesan air lindi (</w:t>
      </w:r>
      <w:r w:rsidRPr="00CD7259">
        <w:rPr>
          <w:rFonts w:ascii="Times New Roman" w:eastAsia="Times New Roman" w:hAnsi="Times New Roman" w:cs="Times New Roman"/>
          <w:i/>
          <w:iCs/>
          <w:sz w:val="24"/>
          <w:szCs w:val="24"/>
          <w:lang w:val="en-US"/>
        </w:rPr>
        <w:t>leachate</w:t>
      </w:r>
      <w:r w:rsidRPr="00CD7259">
        <w:rPr>
          <w:rFonts w:ascii="Times New Roman" w:eastAsia="Times New Roman" w:hAnsi="Times New Roman" w:cs="Times New Roman"/>
          <w:sz w:val="24"/>
          <w:szCs w:val="24"/>
          <w:lang w:val="en-US"/>
        </w:rPr>
        <w:t xml:space="preserve">) yang mengandung logam berat dan patogen berbahaya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{"citationItems":[{"id":"ITEM-1","itemData":{"DOI":"10.56338/jks.v7i5.5254","author":[{"dropping-particle":"","family":"Prisilla","given":"Christin","non-dropping-particle":"","parse-names":false,"suffix":""},{"dropping-particle":"","family":"Insani","given":"Iftitah Nur","non-dropping-particle":"","parse-names":false,"suffix":""},{"dropping-particle":"","family":"Rizky","given":"Moh","non-dropping-particle":"","parse-names":false,"suffix":""},{"dropping-particle":"","family":"Syamsia","given":"Suridan","non-dropping-particle":"","parse-names":false,"suffix":""},{"dropping-particle":"","family":"Arsat","given":"Yusril","non-dropping-particle":"","parse-names":false,"suffix":""},{"dropping-particle":"","family":"Yusuf","given":"Herlina","non-dropping-particle":"","parse-names":false,"suffix":""}],"container-title":"Jurnal Kolaboratif Sains","id":"ITEM-1","issue":"5","issued":{"date-parts":[["2024"]]},"page":"1806-1812","title":"Analisis Dampak Pencemaran Lindi Tempat Pemrosesan Akhir ( TPA ) Desa Jononunu Terhadap Kualitas Air dan Lingkungan Perkebunan : Studi Literatur Analysis of the Impact of Leachate Pollution at the Final Processing Site ( TPA ) in Jononunu Village on Water","type":"article-journal","volume":"7"},"uris":["http://www.mendeley.com/documents/?uuid=f7cf89d6-2c10-42db-8f17-1a67f00f71ca"]}],"mendeley":{"formattedCitation":"(Prisilla et al., 2024)","plainTextFormattedCitation":"(Prisilla et al., 2024)","previouslyFormattedCitation":"(Prisilla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(Prisilla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Penelitian yang dilakukan khusus di TPA Terjun Medan Marelan menunjukkan bahwa air lindi berpotensi menyebar ke lapisan tanah di sekitar lokasi dan mencemari lingkungan apabila tidak ditangani dengan sistem pengelolaan yang memadai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{"citationItems":[{"id":"ITEM-1","itemData":{"DOI":"10.14710/jil.21.2.251-256","abstract":"Penelitian ini bertujuan untuk mengetahui distribusi 3D air lindi. Metode geolistrik resistivitas konfigurasi Schlumberger digunakan untuk mengindikasi air lindi. Hasil uji geolistrik menunjukkan bahwa sebaran lindi di Jalur I (Pertama) berada pada panjang lintasan 28 meter – 84 meter, kedalaman 13 meter – 17,4 meter dengan nilai resistivitas 2,18 m, Jalur II (Scond) berada pada lintasan sepanjang 7 meter. – 140 meter, kedalaman 8,93 meter – 13,4 meter dengan nilai resistivitas 2,95 m, dan Track III (Ketiga) sepanjang 80 meter – 110 meter, kedalaman konfigurasi The Wenner menggunakan metode resistivitas geolistrik, dengan nilai resistivitas lindi 0 , 5 – 5 m diharapkan dapat mengidentifikasi sebaran lindi di jalur pengukuran. Hasil uji geolistrik menunjukkan sebaran lindi di Track I berada pada panjang track 28 meter – 84 meter, kedalaman 13 meter – 17,4 meter dengan nilai resistivitas 2,18 m, Track II berada pada panjang track 7 meter. – 140 meter, kedalaman 8,93 meter – 13,4 meter dengan nilai resistivitas 2,95 m, dan Track III dengan panjang 80 meter – 110 meter, kedalaman 13 meter – 17,4 meter dengan nilai resistivitas 0,807 m. Distribusi ini juga dipengaruhi oleh drainase, elevasi tanah, jenis tanah, dan pengelolaan TPA Terjun Kota Medan","author":[{"dropping-particle":"","family":"Muzambiq","given":"Said","non-dropping-particle":"","parse-names":false,"suffix":""},{"dropping-particle":"","family":"Husin","given":"Amir","non-dropping-particle":"","parse-names":false,"suffix":""},{"dropping-particle":"","family":"Nurfahasdi","given":"Meutia","non-dropping-particle":"","parse-names":false,"suffix":""},{"dropping-particle":"","family":"Dongoran","given":"Roy Monald","non-dropping-particle":"","parse-names":false,"suffix":""}],"container-title":"Jurnal Ilmu Lingkungan","id":"ITEM-1","issue":"2","issued":{"date-parts":[["2023"]]},"page":"251-256","title":"Identification of the Distribution of Leachate in the TPA Terjun , Medan Marelan District , Medan City Using the Resistivity 2D Method","type":"article-journal","volume":"21"},"uris":["http://www.mendeley.com/documents/?uuid=a02e6023-fbd1-4cf7-a0af-93be3dfe9238"]}],"mendeley":{"formattedCitation":"(Muzambiq et al., 2023)","plainTextFormattedCitation":"(Muzambiq et al., 2023)","previouslyFormattedCitation":"(Muzambiq et al., 2023)"},"properties":{"noteIndex":0},"schema":"https://github.com/citation-style-language/schema/raw/master/csl-citation.json"}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(Muzambiq et al., 2023)</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Kedua, pencemaran udara berupa bau tidak sedap yang berasal dari proses dekomposisi sampah organik yang menghasilkan gas metana dan karbon dioksida. Kondisi ini secara langsung mengganggu kenyamanan masyarakat sekitar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{"citationItems":[{"id":"ITEM-1","itemData":{"DOI":"10.55100/administrator.v6i2.92","ISSN":"1858-084X","abstract":"Tempat Pembuangan Akhir (TPA) di Kelurahan Kawa Tuna berfungsi sebagai solusi pengelolaan sampah, namun operasionalnya seringkali menimbulkan dampak negatif terhadap lingkungan, terutama pencemaran udara yang berupa bau busuk. Penelitian ini bertujuan untuk menganalisis dampak pencemaran udara dan lingkungan yang dihasilkan dari aktivitas di TPA serta efeknya terhadap kesehatan masyarakat. Metode penelitian yang digunakan adalah analisis kualitatif dengan survei persepsi masyarakat. Hasil penelitian menunjukkan bahwa bau busuk yang dihasilkan dari TPA dapat mengganggu kenyamanan dan kesehatan masyarakat sekitar. Penelitian ini menegaskan perlunya pengelolaan TPA yang lebih baik dan penerapan teknologi ramah lingkungan untuk meminimalkan dampak negatif terhadap kesehatan masyarakat dan lingkungan.","author":[{"dropping-particle":"","family":"Aura","given":"Audietya Chantieka","non-dropping-particle":"","parse-names":false,"suffix":""},{"dropping-particle":"","family":"Adriansa","given":"Muhammad Wandi","non-dropping-particle":"","parse-names":false,"suffix":""},{"dropping-particle":"","family":"Tala’a","given":"Nadia I","non-dropping-particle":"","parse-names":false,"suffix":""},{"dropping-particle":"","family":"Bakri","given":"Nuraini","non-dropping-particle":"","parse-names":false,"suffix":""},{"dropping-particle":"","family":"Mustainah","given":"Mustainah","non-dropping-particle":"","parse-names":false,"suffix":""},{"dropping-particle":"","family":"Kurnia","given":"Intam","non-dropping-particle":"","parse-names":false,"suffix":""},{"dropping-particle":"","family":"Haryono","given":"Dandan","non-dropping-particle":"","parse-names":false,"suffix":""}],"container-title":"Jurnal ADMINISTRATOR","id":"ITEM-1","issue":"2","issued":{"date-parts":[["2024"]]},"page":"134-139","title":"Analisis Dampak Pencemaran Udara Akibat Oprasional Tempat Pembuangan Akhir Sampah Di Kelurahan Kawatuna","type":"article-journal","volume":"6"},"uris":["http://www.mendeley.com/documents/?uuid=13df14b4-b5e2-4e60-bc1d-5cddbe16f7cc"]},{"id":"ITEM-2","itemData":{"DOI":"10.35965/ursj.v7i2.6275","abstract":"Tempat Pembuangan Akhir (TPA) Tamangapa di Kota Makassar telah menjadi pusat pengelolaan sampah utama sejak 1992. Namun, seiring meningkatnya jumlah penduduk dan volume sampah, TPA ini mengalami kelebihan kapasitas yang menimbulkan berbagai dampak terhadap masyarakat dan lingkungan sekitar. Penelitian ini bertujuan untuk mengidentifikasi dampak keberadaan TPA Tamangapa terhadap kondisi kehidupan masyarakat di sekitarnya. Metode yang digunakan adalah deskriptif kualitatif dengan teknik purposive sampling kepada 20 responden yang tinggal di wilayah terdampak. Data dikumpulkan melalui observasi, wawancara, dokumentasi, dan analisis spasial menggunakan metode IDW di aplikasi ARCMap. Hasil penelitian menunjukkan bahwa dampak utama yang dirasakan masyarakat meliputi pencemaran udara berupa bau menyengat, terutama saat musim hujan dan di wilayah timur TPA, serta terganggunya mobilitas akibat truk sampah yang parkir di bahu jalan. Penelitian ini menekankan perlunya perbaikan manajemen TPA, penataan infrastruktur pendukung, serta peningkatan kesadaran masyarakat terhadap kesehatan lingkungan The Tamangapa Final Disposal Site (TPA) in Makassar City has served as the primary waste management center since 1992. However, due to population growth and increasing waste volume, the site has exceeded its capacity, resulting in various environmental and social impacts on surrounding communities. This study aims to identify the effects of the Tamangapa landfill on the living conditions of nearby residents. A qualitative descriptive method was used, with purposive sampling applied to 20 respondents living in affected areas. Data were collected through observation, interviews, documentation, and spatial analysis using the IDW method in the ARCMap application. The findings reveal two major impacts: air pollution in the form of foul odors—especially during the rainy season and in areas east of the landfill—and disrupted community mobility caused by garbage trucks parked on the roadside due to a lack of proper parking facilities. The study emphasizes the need for improved landfill management, better infrastructure planning, and increased public awareness of environmental health","author":[{"dropping-particle":"","family":"Hasanuddin","given":"Andika Saputra","non-dropping-particle":"","parse-names":false,"suffix":""},{"dropping-particle":"","family":"Iskandar","given":"Doddy Aditya","non-dropping-particle":"","parse-names":false,"suffix":""}],"container-title":"Urban and Regional Studies Journal","id":"ITEM-2","issue":"2","issued":{"date-parts":[["2025"]]},"page":"236-243","title":"Dampak Keberadaan Tempat Pembuangan Akhir Tamangapa Terhadap Kondisi Kehidupan Masyarakat","type":"article-journal","volume":"7"},"uris":["http://www.mendeley.com/documents/?uuid=513050b3-869f-4f02-b377-70f53c5753e0"]}],"mendeley":{"formattedCitation":"(Aura et al., 2024; Hasanuddin &amp; Iskandar, 2025)","plainTextFormattedCitation":"(Aura et al., 2024; Hasanuddin &amp; Iskandar, 2025)","previouslyFormattedCitation":"(Aura et al., 2024; Hasanuddin &amp; Iskandar,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(Aura et al., 2024; Hasanuddin &amp; Iskandar,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Ketiga, peningkatan risiko gangguan pernapasan yang erat kaitannya dengan kedekatan jarak tempat tinggal terhadap TPA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{"citationItems":[{"id":"ITEM-1","itemData":{"author":[{"dropping-particle":"","family":"Rampun","given":"Gina Julyesta","non-dropping-particle":"","parse-names":false,"suffix":""},{"dropping-particle":"","family":"Ramadhan","given":"M Rafli","non-dropping-particle":"","parse-names":false,"suffix":""},{"dropping-particle":"","family":"Suhaeb","given":"Firdaus W","non-dropping-particle":"","parse-names":false,"suffix":""}],"container-title":"Jurnal Pendidikan Multidisipliner","id":"ITEM-1","issue":"April","issued":{"date-parts":[["2025"]]},"page":"73-82","title":"Jurnal Pendidikan Multidisipliner PENGARUH PENCEMARAN UDARA DI LINGKUNGAN TPA ANTANG TERHADAP GANGGUAN SALURAN PERNAPASAN (LITERATURE REVIEW)","type":"article-journal","volume":"8"},"uris":["http://www.mendeley.com/documents/?uuid=4a56c9e1-accf-40b6-bcf6-3b0ebd228a60"]}],"mendeley":{"formattedCitation":"(Rampun et al., 2025)","plainTextFormattedCitation":"(Rampun et al., 2025)","previouslyFormattedCitation":"(Rampun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(Rampun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Keempat, risiko banjir dan longsor akibat penumpukan sampah yang menghambat aliran drainase di sekitar lokasi.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{"citationItems":[{"id":"ITEM-1","itemData":{"abstract":"Pengelolaan sampah rumah tangga merupakan isu krusial yang berdampak langsung pada kualitas lingkungan dan kesehatan masyarakat. Penelitian ini bertujuan untuk menganalisis sistem pengelolaan sampah rumah tangga serta dampaknya terhadap lingkungan di Desa Kaliabu, Kecamatan Mejayan. Dengan menggunakan pendekatan kualitatif deskriptif dan survei lapangan, penelitian ini mengidentifikasi berbagai tantangan dalam pengelolaan sampah, seperti keterbatasan infrastruktur, kebiasaan pembakaran sampah, serta rendahnya kesadaran masyarakat dalam memilah dan mendaur ulang sampah. Hasil penelitian menunjukkan bahwa mayoritas rumah tangga di Desa Kaliabu memiliki akses yang relatif dekat ke tempat pengelolaan sampah, tetapi masih terdapat sebagian masyarakat yang tinggal dalam jarak yang jauh, sehingga berpotensi menimbulkan kesulitan dalam pembuangan sampah. Selain itu, sebanyak 25,5% responden memiliki riwayat gangguan pernapasan, dengan asma sebagai kasus terbanyak. Hal ini diduga berkaitan dengan tingginya tingkat pencemaran udara akibat pengelolaan sampah yang tidak optimal, terutama pembakaran sampah yang masih sering dilakukan. Dari perspektif masyarakat, mayoritas responden mengharapkan pemerintah meningkatkan fasilitas dan teknologi pengelolaan sampah (27,3%) serta menegakkan regulasi yang lebih ketat (18,2%) untuk mengurangi dampak pencemaran. Faktor utama penyebab polusi udara di desa ini adalah sampah yang tidak terkelola dengan baik (36%) dan kebiasaan pembakaran sampah (30%). Sebagai upaya mitigasi, masyarakat telah mengambil langkah-langkah seperti mengelola sampah dengan lebih baik (32%) dan menghentikan pembakaran sampah (24%). Kata","author":[{"dropping-particle":"","family":"Lubis","given":"Hafizhah Dinayah","non-dropping-particle":"","parse-names":false,"suffix":""},{"dropping-particle":"","family":"Kokoh","given":"Raden","non-dropping-particle":"","parse-names":false,"suffix":""},{"dropping-particle":"","family":"Putro","given":"Haryo","non-dropping-particle":"","parse-names":false,"suffix":""}],"container-title":"jurnal teknik","id":"ITEM-1","issue":"02","issued":{"date-parts":[["2025"]]},"page":"1161-1177","title":"Analisis Dampak Lingkungan Kerja Operasional TPA terhadap Kesehatan Masyarakat di Desa Kaliabu, Kecamatan Mejayan, Kabupaten Madiun: Menganalisis Dampak yang Terjadi pada Kesehatan Masyarakat dari Pengelolaan Sampah di Lingkungan TPA Kaliabu.","type":"article-journal","volume":"05"},"uris":["http://www.mendeley.com/documents/?uuid=533a49be-0b25-473c-b1ce-f84566b412da"]}],"mendeley":{"formattedCitation":"(Lubis et al., 2025)","plainTextFormattedCitation":"(Lubis et al., 2025)","previouslyFormattedCitation":"(Lubis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(Lubis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w:t>
      </w:r>
      <w:proofErr w:type="gramStart"/>
      <w:r w:rsidRPr="00CD7259">
        <w:rPr>
          <w:rFonts w:ascii="Times New Roman" w:eastAsia="Times New Roman" w:hAnsi="Times New Roman" w:cs="Times New Roman"/>
          <w:sz w:val="24"/>
          <w:szCs w:val="24"/>
          <w:lang w:val="en-US"/>
        </w:rPr>
        <w:t>menambahkan</w:t>
      </w:r>
      <w:proofErr w:type="gramEnd"/>
      <w:r w:rsidRPr="00CD7259">
        <w:rPr>
          <w:rFonts w:ascii="Times New Roman" w:eastAsia="Times New Roman" w:hAnsi="Times New Roman" w:cs="Times New Roman"/>
          <w:sz w:val="24"/>
          <w:szCs w:val="24"/>
          <w:lang w:val="en-US"/>
        </w:rPr>
        <w:t xml:space="preserve"> bahwa pengelolaan TPA yang tidak optimal, khususnya kebiasaan pembakaran sampah secara terbuka, menyebabkan </w:t>
      </w:r>
      <w:r w:rsidRPr="00CD7259">
        <w:rPr>
          <w:rFonts w:ascii="Times New Roman" w:eastAsia="Times New Roman" w:hAnsi="Times New Roman" w:cs="Times New Roman"/>
          <w:sz w:val="24"/>
          <w:szCs w:val="24"/>
          <w:lang w:val="en-US"/>
        </w:rPr>
        <w:lastRenderedPageBreak/>
        <w:t>tingginya kadar pencemaran udara di sekitar lokasi pembuangan dan memperburuk kondisi kesehatan masyarakat setempat.</w:t>
      </w:r>
    </w:p>
    <w:p w14:paraId="14ED46D5"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Kenyamanan Masyarakat</w:t>
      </w:r>
    </w:p>
    <w:p w14:paraId="6DC31060"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Kenyamanan masyarakat dapat didefinisikan sebagai kondisi ketika individu atau kelompok merasakan lingkungan tempat tinggalnya sebagai ruang yang aman, tenteram, dan bebas dari berbagai gangguan lingkungan. Konsep ini bersifat multidimensional karena tidak hanya ditentukan oleh kondisi fisik lingkungan secara objektif, tetapi juga sangat dipengaruhi oleh persepsi subjektif masing-masing individu terhadap kualitas lingkungan yang mereka rasakan sehari-hari. Secara operasional, kenyamanan masyarakat dapat diukur melalui sejauh mana lingkungan terbebas dari pencemaran udara, bau tidak sedap, kebisingan, serta gangguan kesehatan yang berulang, karena kondisi-kondisi tersebut secara langsung memengaruhi kesejahteraan dan kualitas hidup warga.</w:t>
      </w:r>
    </w:p>
    <w:p w14:paraId="6F581926"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Kenyamanan masyarakat terdiri dari tiga dimensi utama yang saling berhubungan dan saling memengaruhi satu </w:t>
      </w:r>
      <w:proofErr w:type="gramStart"/>
      <w:r w:rsidRPr="00CD7259">
        <w:rPr>
          <w:rFonts w:ascii="Times New Roman" w:eastAsia="Times New Roman" w:hAnsi="Times New Roman" w:cs="Times New Roman"/>
          <w:sz w:val="24"/>
          <w:szCs w:val="24"/>
          <w:lang w:val="en-US"/>
        </w:rPr>
        <w:t>sama</w:t>
      </w:r>
      <w:proofErr w:type="gramEnd"/>
      <w:r w:rsidRPr="00CD7259">
        <w:rPr>
          <w:rFonts w:ascii="Times New Roman" w:eastAsia="Times New Roman" w:hAnsi="Times New Roman" w:cs="Times New Roman"/>
          <w:sz w:val="24"/>
          <w:szCs w:val="24"/>
          <w:lang w:val="en-US"/>
        </w:rPr>
        <w:t xml:space="preserve"> lain, yaitu dimensi fisik, psikologis, dan sosial. Dimensi fisik mencakup kondisi lingkungan yang dapat dirasakan dan diamati secara langsung, seperti kualitas udara, tingkat kebersihan, intensitas kebisingan, serta keberadaan vektor penyakit. Dalam konteks keberadaan TPA, dimensi ini paling terdampak secara nyata, antara lain melalui bau tidak sedap yang menyebar ke permukiman, rembesan air lindi yang mencemari tanah dan air bersih, serta meningkatnya populasi </w:t>
      </w:r>
      <w:proofErr w:type="gramStart"/>
      <w:r w:rsidRPr="00CD7259">
        <w:rPr>
          <w:rFonts w:ascii="Times New Roman" w:eastAsia="Times New Roman" w:hAnsi="Times New Roman" w:cs="Times New Roman"/>
          <w:sz w:val="24"/>
          <w:szCs w:val="24"/>
          <w:lang w:val="en-US"/>
        </w:rPr>
        <w:t>hama</w:t>
      </w:r>
      <w:proofErr w:type="gramEnd"/>
      <w:r w:rsidRPr="00CD7259">
        <w:rPr>
          <w:rFonts w:ascii="Times New Roman" w:eastAsia="Times New Roman" w:hAnsi="Times New Roman" w:cs="Times New Roman"/>
          <w:sz w:val="24"/>
          <w:szCs w:val="24"/>
          <w:lang w:val="en-US"/>
        </w:rPr>
        <w:t xml:space="preserve"> seperti lalat, nyamuk, dan tikus di sekitar lokasi.</w:t>
      </w:r>
    </w:p>
    <w:p w14:paraId="21C9C4C3"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Dimensi psikologis berkaitan dengan persepsi risiko, tingkat stres, dan kemampuan adaptasi masyarakat terhadap kondisi lingkungan yang kurang mendukung. Masyarakat yang telah lama bermukim di sekitar TPA umumnya mengembangkan mekanisme penyesuaian diri (</w:t>
      </w:r>
      <w:r w:rsidRPr="00CD7259">
        <w:rPr>
          <w:rFonts w:ascii="Times New Roman" w:eastAsia="Times New Roman" w:hAnsi="Times New Roman" w:cs="Times New Roman"/>
          <w:i/>
          <w:iCs/>
          <w:sz w:val="24"/>
          <w:szCs w:val="24"/>
          <w:lang w:val="en-US"/>
        </w:rPr>
        <w:t>habituasi</w:t>
      </w:r>
      <w:r w:rsidRPr="00CD7259">
        <w:rPr>
          <w:rFonts w:ascii="Times New Roman" w:eastAsia="Times New Roman" w:hAnsi="Times New Roman" w:cs="Times New Roman"/>
          <w:sz w:val="24"/>
          <w:szCs w:val="24"/>
          <w:lang w:val="en-US"/>
        </w:rPr>
        <w:t>) terhadap berbagai gangguan lingkungan yang ada, sehingga tingkat kepekaan dan keluhan mereka cenderung berkurang seiring waktu meskipun kondisi objektif lingkungan tidak berubah secara signifikan.</w:t>
      </w:r>
    </w:p>
    <w:p w14:paraId="548E2D5A"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Sementara itu, dimensi sosial berkaitan dengan kualitas hubungan antarwarga dan dinamika interaksi sosial di dalam komunitas. Keberadaan TPA dapat memunculkan stigma lingkungan terhadap wilayah sekitarnya, yang pada gilirannya dapat memengaruhi </w:t>
      </w:r>
      <w:r w:rsidRPr="00CD7259">
        <w:rPr>
          <w:rFonts w:ascii="Times New Roman" w:eastAsia="Times New Roman" w:hAnsi="Times New Roman" w:cs="Times New Roman"/>
          <w:sz w:val="24"/>
          <w:szCs w:val="24"/>
          <w:lang w:val="en-US"/>
        </w:rPr>
        <w:lastRenderedPageBreak/>
        <w:t xml:space="preserve">kohesi sosial dan memicu potensi konflik, baik antarwarga maupun antara warga dengan pihak pengelola TPA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{"citationItems":[{"id":"ITEM-1","itemData":{"DOI":"10.35965/ursj.v7i2.6275","abstract":"Tempat Pembuangan Akhir (TPA) Tamangapa di Kota Makassar telah menjadi pusat pengelolaan sampah utama sejak 1992. Namun, seiring meningkatnya jumlah penduduk dan volume sampah, TPA ini mengalami kelebihan kapasitas yang menimbulkan berbagai dampak terhadap masyarakat dan lingkungan sekitar. Penelitian ini bertujuan untuk mengidentifikasi dampak keberadaan TPA Tamangapa terhadap kondisi kehidupan masyarakat di sekitarnya. Metode yang digunakan adalah deskriptif kualitatif dengan teknik purposive sampling kepada 20 responden yang tinggal di wilayah terdampak. Data dikumpulkan melalui observasi, wawancara, dokumentasi, dan analisis spasial menggunakan metode IDW di aplikasi ARCMap. Hasil penelitian menunjukkan bahwa dampak utama yang dirasakan masyarakat meliputi pencemaran udara berupa bau menyengat, terutama saat musim hujan dan di wilayah timur TPA, serta terganggunya mobilitas akibat truk sampah yang parkir di bahu jalan. Penelitian ini menekankan perlunya perbaikan manajemen TPA, penataan infrastruktur pendukung, serta peningkatan kesadaran masyarakat terhadap kesehatan lingkungan The Tamangapa Final Disposal Site (TPA) in Makassar City has served as the primary waste management center since 1992. However, due to population growth and increasing waste volume, the site has exceeded its capacity, resulting in various environmental and social impacts on surrounding communities. This study aims to identify the effects of the Tamangapa landfill on the living conditions of nearby residents. A qualitative descriptive method was used, with purposive sampling applied to 20 respondents living in affected areas. Data were collected through observation, interviews, documentation, and spatial analysis using the IDW method in the ARCMap application. The findings reveal two major impacts: air pollution in the form of foul odors—especially during the rainy season and in areas east of the landfill—and disrupted community mobility caused by garbage trucks parked on the roadside due to a lack of proper parking facilities. The study emphasizes the need for improved landfill management, better infrastructure planning, and increased public awareness of environmental health","author":[{"dropping-particle":"","family":"Hasanuddin","given":"Andika Saputra","non-dropping-particle":"","parse-names":false,"suffix":""},{"dropping-particle":"","family":"Iskandar","given":"Doddy Aditya","non-dropping-particle":"","parse-names":false,"suffix":""}],"container-title":"Urban and Regional Studies Journal","id":"ITEM-1","issue":"2","issued":{"date-parts":[["2025"]]},"page":"236-243","title":"Dampak Keberadaan Tempat Pembuangan Akhir Tamangapa Terhadap Kondisi Kehidupan Masyarakat","type":"article-journal","volume":"7"},"uris":["http://www.mendeley.com/documents/?uuid=513050b3-869f-4f02-b377-70f53c5753e0"]}],"mendeley":{"formattedCitation":"(Hasanuddin &amp; Iskandar, 2025)","plainTextFormattedCitation":"(Hasanuddin &amp; Iskandar, 2025)","previouslyFormattedCitation":"(Hasanuddin &amp; Iskandar,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(Hasanuddin &amp; Iskandar,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Dengan demikian, pemahaman terhadap kenyamanan masyarakat di sekitar TPA perlu mempertimbangkan ketiga dimensi ini secara bersamaan agar gambaran yang diperoleh lebih komprehensif dan representatif.</w:t>
      </w:r>
    </w:p>
    <w:p w14:paraId="6D6EBE98"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Penelitian terdahulu</w:t>
      </w:r>
    </w:p>
    <w:p w14:paraId="4C92B272"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Sejumlah penelitian telah mengkaji dampak Tempat Pembuangan Akhir (TPA) terhadap masyarakat dari berbagai aspek.</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{"citationItems":[{"id":"ITEM-1","itemData":{"DOI":"10.55100/administrator.v6i2.92","ISSN":"1858-084X","abstract":"Tempat Pembuangan Akhir (TPA) di Kelurahan Kawa Tuna berfungsi sebagai solusi pengelolaan sampah, namun operasionalnya seringkali menimbulkan dampak negatif terhadap lingkungan, terutama pencemaran udara yang berupa bau busuk. Penelitian ini bertujuan untuk menganalisis dampak pencemaran udara dan lingkungan yang dihasilkan dari aktivitas di TPA serta efeknya terhadap kesehatan masyarakat. Metode penelitian yang digunakan adalah analisis kualitatif dengan survei persepsi masyarakat. Hasil penelitian menunjukkan bahwa bau busuk yang dihasilkan dari TPA dapat mengganggu kenyamanan dan kesehatan masyarakat sekitar. Penelitian ini menegaskan perlunya pengelolaan TPA yang lebih baik dan penerapan teknologi ramah lingkungan untuk meminimalkan dampak negatif terhadap kesehatan masyarakat dan lingkungan.","author":[{"dropping-particle":"","family":"Aura","given":"Audietya Chantieka","non-dropping-particle":"","parse-names":false,"suffix":""},{"dropping-particle":"","family":"Adriansa","given":"Muhammad Wandi","non-dropping-particle":"","parse-names":false,"suffix":""},{"dropping-particle":"","family":"Tala’a","given":"Nadia I","non-dropping-particle":"","parse-names":false,"suffix":""},{"dropping-particle":"","family":"Bakri","given":"Nuraini","non-dropping-particle":"","parse-names":false,"suffix":""},{"dropping-particle":"","family":"Mustainah","given":"Mustainah","non-dropping-particle":"","parse-names":false,"suffix":""},{"dropping-particle":"","family":"Kurnia","given":"Intam","non-dropping-particle":"","parse-names":false,"suffix":""},{"dropping-particle":"","family":"Haryono","given":"Dandan","non-dropping-particle":"","parse-names":false,"suffix":""}],"container-title":"Jurnal ADMINISTRATOR","id":"ITEM-1","issue":"2","issued":{"date-parts":[["2024"]]},"page":"134-139","title":"Analisis Dampak Pencemaran Udara Akibat Oprasional Tempat Pembuangan Akhir Sampah Di Kelurahan Kawatuna","type":"article-journal","volume":"6"},"uris":["http://www.mendeley.com/documents/?uuid=13df14b4-b5e2-4e60-bc1d-5cddbe16f7cc"]}],"mendeley":{"formattedCitation":"(Aura et al., 2024)","plainTextFormattedCitation":"(Aura et al., 2024)","previouslyFormattedCitation":"(Aura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(Aura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Dinyatakan bahwa bau yang ditimbulkan dari aktivitas TPA dapat menurunkan kenyamanan masyarakat.</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{"citationItems":[{"id":"ITEM-1","itemData":{"DOI":"10.35965/ursj.v7i2.6275","abstract":"Tempat Pembuangan Akhir (TPA) Tamangapa di Kota Makassar telah menjadi pusat pengelolaan sampah utama sejak 1992. Namun, seiring meningkatnya jumlah penduduk dan volume sampah, TPA ini mengalami kelebihan kapasitas yang menimbulkan berbagai dampak terhadap masyarakat dan lingkungan sekitar. Penelitian ini bertujuan untuk mengidentifikasi dampak keberadaan TPA Tamangapa terhadap kondisi kehidupan masyarakat di sekitarnya. Metode yang digunakan adalah deskriptif kualitatif dengan teknik purposive sampling kepada 20 responden yang tinggal di wilayah terdampak. Data dikumpulkan melalui observasi, wawancara, dokumentasi, dan analisis spasial menggunakan metode IDW di aplikasi ARCMap. Hasil penelitian menunjukkan bahwa dampak utama yang dirasakan masyarakat meliputi pencemaran udara berupa bau menyengat, terutama saat musim hujan dan di wilayah timur TPA, serta terganggunya mobilitas akibat truk sampah yang parkir di bahu jalan. Penelitian ini menekankan perlunya perbaikan manajemen TPA, penataan infrastruktur pendukung, serta peningkatan kesadaran masyarakat terhadap kesehatan lingkungan The Tamangapa Final Disposal Site (TPA) in Makassar City has served as the primary waste management center since 1992. However, due to population growth and increasing waste volume, the site has exceeded its capacity, resulting in various environmental and social impacts on surrounding communities. This study aims to identify the effects of the Tamangapa landfill on the living conditions of nearby residents. A qualitative descriptive method was used, with purposive sampling applied to 20 respondents living in affected areas. Data were collected through observation, interviews, documentation, and spatial analysis using the IDW method in the ARCMap application. The findings reveal two major impacts: air pollution in the form of foul odors—especially during the rainy season and in areas east of the landfill—and disrupted community mobility caused by garbage trucks parked on the roadside due to a lack of proper parking facilities. The study emphasizes the need for improved landfill management, better infrastructure planning, and increased public awareness of environmental health","author":[{"dropping-particle":"","family":"Hasanuddin","given":"Andika Saputra","non-dropping-particle":"","parse-names":false,"suffix":""},{"dropping-particle":"","family":"Iskandar","given":"Doddy Aditya","non-dropping-particle":"","parse-names":false,"suffix":""}],"container-title":"Urban and Regional Studies Journal","id":"ITEM-1","issue":"2","issued":{"date-parts":[["2025"]]},"page":"236-243","title":"Dampak Keberadaan Tempat Pembuangan Akhir Tamangapa Terhadap Kondisi Kehidupan Masyarakat","type":"article-journal","volume":"7"},"uris":["http://www.mendeley.com/documents/?uuid=513050b3-869f-4f02-b377-70f53c5753e0"]}],"mendeley":{"formattedCitation":"(Hasanuddin &amp; Iskandar, 2025)","plainTextFormattedCitation":"(Hasanuddin &amp; Iskandar, 2025)","previouslyFormattedCitation":"(Hasanuddin &amp; Iskandar,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(Hasanuddin &amp; Iskandar,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Menjelaskan bahwa kondisi </w:t>
      </w:r>
      <w:r w:rsidRPr="00CD7259">
        <w:rPr>
          <w:rFonts w:ascii="Times New Roman" w:eastAsia="Times New Roman" w:hAnsi="Times New Roman" w:cs="Times New Roman"/>
          <w:i/>
          <w:iCs/>
          <w:sz w:val="24"/>
          <w:szCs w:val="24"/>
          <w:lang w:val="en-US"/>
        </w:rPr>
        <w:t>overcapacity</w:t>
      </w:r>
      <w:r w:rsidRPr="00CD7259">
        <w:rPr>
          <w:rFonts w:ascii="Times New Roman" w:eastAsia="Times New Roman" w:hAnsi="Times New Roman" w:cs="Times New Roman"/>
          <w:sz w:val="24"/>
          <w:szCs w:val="24"/>
          <w:lang w:val="en-US"/>
        </w:rPr>
        <w:t xml:space="preserve"> pada TPA dapat menyebabkan gangguan lingkungan seperti bau tidak sedap dan terganggunya aktivitas masyarakat di sekitar lokasi. Sementara itu,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{"citationItems":[{"id":"ITEM-1","itemData":{"author":[{"dropping-particle":"","family":"Rampun","given":"Gina Julyesta","non-dropping-particle":"","parse-names":false,"suffix":""},{"dropping-particle":"","family":"Ramadhan","given":"M Rafli","non-dropping-particle":"","parse-names":false,"suffix":""},{"dropping-particle":"","family":"Suhaeb","given":"Firdaus W","non-dropping-particle":"","parse-names":false,"suffix":""}],"container-title":"Jurnal Pendidikan Multidisipliner","id":"ITEM-1","issue":"April","issued":{"date-parts":[["2025"]]},"page":"73-82","title":"Jurnal Pendidikan Multidisipliner PENGARUH PENCEMARAN UDARA DI LINGKUNGAN TPA ANTANG TERHADAP GANGGUAN SALURAN PERNAPASAN (LITERATURE REVIEW)","type":"article-journal","volume":"8"},"uris":["http://www.mendeley.com/documents/?uuid=4a56c9e1-accf-40b6-bcf6-3b0ebd228a60"]}],"mendeley":{"formattedCitation":"(Rampun et al., 2025)","plainTextFormattedCitation":"(Rampun et al., 2025)","previouslyFormattedCitation":"(Rampun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(Rampun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Menemukan adanya hubungan antara jarak tempat tinggal dengan risiko gangguan pernapasan. Dari sisi ekonomi,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{"citationItems":[{"id":"ITEM-1","itemData":{"DOI":"10.30743/mkd.v7i1.6464","ISSN":"2614-1159","abstract":"This study aimed to examine how the establishment of a Final Processing Site (TPA) and subsequent waste processing has influenced the local economy and social life of the Cipayung Village, Depok, West Java community. The methodological approach was qualitative and descriptive. Six residents, two TPA administrators, and the RT and RW heads of the area, participated in the study. The results of a thematic analysis of research data indicate that: 1) Environmental degradation caused by the TPA has an effect on people' daily routines; and 2) The existence of the TPA has created new employment prospects; 3) TPA administration facilitates the implementation of numerous activities, hence enhancing social interaction between people; 4) The presence of a TPA improves the socioeconomic well-being of community members. The local community, the TPA management and government must collaborate to safeguard their environment so that environmental issues generated by the establishment of the Cipayung TPA do not recur, and to maximize opportunities so that the Cipayung TPA becomes an innovation capable of promoting community welfare.","author":[{"dropping-particle":"","family":"Annidia","given":"Fika Sidqia","non-dropping-particle":"","parse-names":false,"suffix":""},{"dropping-particle":"","family":"Rahiem","given":"Maila D.H.","non-dropping-particle":"","parse-names":false,"suffix":""},{"dropping-particle":"","family":"Nourwahida","given":"Cut Dhien","non-dropping-particle":"","parse-names":false,"suffix":""}],"container-title":"MUKADIMAH: Jurnal Pendidikan, Sejarah, dan Ilmu-ilmu Sosial","id":"ITEM-1","issue":"1","issued":{"date-parts":[["2023"]]},"page":"1-11","title":"Dampak Sosial Ekonomi dari Pendirian Tempat Pemrosesan Akhir (TPA) dan Pemrosesan Sampah bagi Masyarakat Cipayung, Depok, Jawa Barat","type":"article-journal","volume":"7"},"uris":["http://www.mendeley.com/documents/?uuid=43b65e96-2947-49be-8d3e-f41eee0f24cc"]},{"id":"ITEM-2","itemData":{"DOI":"10.37373/bemas.v6i2.1684","ISSN":"2745-5866","abstract":"TPA singkatan dari Tempat Pembuangan Akhir yang merupakan tempat untuk memproses sampah dan mengembalikannya ke lingkungan secara aman. TPA merupakan tempat dimana sampah mencapai tahap terakhir dalam pengelolaannya sejak mulai pengumpulan, pengangkutan serta pengolahan dan pembuangan. Tujuan penelitian ini adalah untuk mengetahui dampak keberadaan tempat pembuangan akhir (TPA) terhadap kesejahteraan masyarakat di sekitar TPA Karangdieng Kabupaten Mojokerto. Metode dalam penelitian ini menggunakan kualitatif dengan jenis penelitian field research. Field research adalah penelitian lapangan dengan memanfaatkan informasi yang bersumber dari responden melalui instrumen pengumpulan data seperti wawancara, observasi dan sebagainya. Penelitian ini dilakukan pada masyarakat di daerah dusun sumberingin. Hasil dari penelitian ini keberadaan TPA masyarakat Kampung Sumberingin telah membawa dampak yang kompleks terhadap sosial ekonomi masyarakat. Meskipun menghadapi tantangan, masyarakat berhasil beradaptasi dengan membangun solidaritas dan kerjasama yang kuat. Pekerjaan sebagai pemulung tidak hanya menjadi sumber penghasilan tambahan tetapi juga menciptakan kesadaran akan pentingnya pengelolaan sampah yang baik. Hal ini mencerminkan ketahanan masyarakat dalam menghadapi tantangan dan pentingnya dukungan sosial dalam meningkatkan kesejahteraan bersama. Dalam risiko kesehatan akibat keberadaan TPA, seperti penyakit menular dari sampah dan gangguan pernapasan akibat bau, masyarakat Dusun Sumberingin menunjukkan ketahanan dan kemampuan untuk beradaptasi. Kualitas udara yang rendah dapat mempengaruhi kesehatan, tetapi warga telah belajar untuk hidup dengan kondisi tersebut. Mereka tetap menjalani aktivitas sehari-hari tanpa merasa terganggu oleh bau yang dihasilkan dari tempat pembuangan akhir sampah. Meskipun ada keluhan mengenai pencemaran, masyarakat tetap berusaha menjaga kesehatan dan kebersihan lingkungan mereka. Oleh karena itu, penting bagi pengelola TPA untuk terus meningkatkan praktik pengelolaan sampah yang lebih baik guna meminimalkan dampak negatif terhadap kesehatan masyarakat.","author":[{"dropping-particle":"","family":"Kamaliya","given":"Nabila","non-dropping-particle":"","parse-names":false,"suffix":""}],"container-title":"BEMAS: Jurnal Bermasyarakat","id":"ITEM-2","issue":"2","issued":{"date-parts":[["2026"]]},"page":"230-236","title":"Dampak keberadaan tempat pembuangan akhir sampah terhadap kesejahteraan masyarakat sekitar TPA Karangdieng Kabupaten Mojokerto","type":"article-journal","volume":"6"},"uris":["http://www.mendeley.com/documents/?uuid=7b76fcbd-dbf0-4f1d-9bcb-0d8ab1e38edb"]}],"mendeley":{"formattedCitation":"(Annidia et al., 2023; Kamaliya, 2026)","plainTextFormattedCitation":"(Annidia et al., 2023; Kamaliya, 2026)","previouslyFormattedCitation":"(Annidia et al., 2023; Kamaliya, 2026)"},"properties":{"noteIndex":0},"schema":"https://github.com/citation-style-language/schema/raw/master/csl-citation.json"}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(Annidia et al., 2023; Kamaliya, 2026)</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menjelaskan bahwa TPA juga memberikan manfaat ekonomi melalui aktivitas masyarakat sekitar, terutama sektor informal seperti pemulung. Selain itu,</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{"citationItems":[{"id":"ITEM-1","itemData":{"DOI":"10.56338/jks.v7i5.5254","author":[{"dropping-particle":"","family":"Prisilla","given":"Christin","non-dropping-particle":"","parse-names":false,"suffix":""},{"dropping-particle":"","family":"Insani","given":"Iftitah Nur","non-dropping-particle":"","parse-names":false,"suffix":""},{"dropping-particle":"","family":"Rizky","given":"Moh","non-dropping-particle":"","parse-names":false,"suffix":""},{"dropping-particle":"","family":"Syamsia","given":"Suridan","non-dropping-particle":"","parse-names":false,"suffix":""},{"dropping-particle":"","family":"Arsat","given":"Yusril","non-dropping-particle":"","parse-names":false,"suffix":""},{"dropping-particle":"","family":"Yusuf","given":"Herlina","non-dropping-particle":"","parse-names":false,"suffix":""}],"container-title":"Jurnal Kolaboratif Sains","id":"ITEM-1","issue":"5","issued":{"date-parts":[["2024"]]},"page":"1806-1812","title":"Analisis Dampak Pencemaran Lindi Tempat Pemrosesan Akhir ( TPA ) Desa Jononunu Terhadap Kualitas Air dan Lingkungan Perkebunan : Studi Literatur Analysis of the Impact of Leachate Pollution at the Final Processing Site ( TPA ) in Jononunu Village on Water","type":"article-journal","volume":"7"},"uris":["http://www.mendeley.com/documents/?uuid=f7cf89d6-2c10-42db-8f17-1a67f00f71ca"]}],"mendeley":{"formattedCitation":"(Prisilla et al., 2024)","plainTextFormattedCitation":"(Prisilla et al., 2024)","previouslyFormattedCitation":"(Prisilla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(Prisilla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menyebutkan bahwa pencemaran air lindi dapat berdampak pada kualitas air dan kesehatan masyarakat.</w:t>
      </w:r>
    </w:p>
    <w:p w14:paraId="32D4A88A"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Penelitian di lokasi yang sama dilakukan oleh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{"citationItems":[{"id":"ITEM-1","itemData":{"DOI":"10.61132/ijmecie.v2i3.315","ISSN":"3047-4523","abstract":"The presence of Final Waste Processing Sites (TPA) in urban areas often leads to a dilemma between the necessity of waste management infrastructure and its environmental and social impacts on surrounding communities. This study focuses on examining the influence of the TPA Terjun in Medan City on land use change patterns and the socioeconomic conditions of nearby residents. A quantitative research approach was employed, involving a survey of 150 respondents. Data were analyzed using multiple linear regression to assess how two independent variables—TPA characteristics and public perceptions and responses—affect community perceptions of environmental impacts. The findings indicate that both independent variables have a significant simultaneous effect on public perception, with a model significance value of 0.022. Specifically, the physical characteristics of the TPA exert a significantly positive influence on the community’s environmental perceptions, while community perceptions and responses also contribute meaningfully. Despite this, the low coefficient of determination (R² = 0.009) implies that many other external factors not included in the model also shape perceptions of environmental impact. This study underscores the importance of adopting a comprehensive approach to spatial planning and urban environmental management, particularly regarding public infrastructure like TPAs. It highlights the need for public participation in decision-making, the improvement of infrastructure quality, and the establishment of clear zoning regulations to ensure a balance between the functional needs of urban areas and the preservation of the surrounding microenvironment. These factors play a crucial role in mitigating the negative effects of waste management facilities and in enhancing the quality of life for the communities in proximity to these sites. Ultimately, the study advocates for better integration of community feedback and more robust environmental policies in urban planning to foster sustainable urban development.","author":[{"dropping-particle":"","family":"Apriani Apriani","given":"","non-dropping-particle":"","parse-names":false,"suffix":""},{"dropping-particle":"","family":"Cut Nuraini","given":"","non-dropping-particle":"","parse-names":false,"suffix":""},{"dropping-particle":"","family":"Abdi Sugiarto","given":"","non-dropping-particle":"","parse-names":false,"suffix":""}],"container-title":"International Journal of Mechanical, Electrical and Civil Engineering","id":"ITEM-1","issue":"3","issued":{"date-parts":[["2025"]]},"page":"231-244","title":"The Impact of Final Waste Processing Site (TPA) on Land Use Change and Socioeconomic Conditions in Medan's Surrounding Communities","type":"article-journal","volume":"2"},"uris":["http://www.mendeley.com/documents/?uuid=4ce94bc4-ec36-4e56-a12a-8e04c4e1ba89"]}],"mendeley":{"formattedCitation":"(Apriani Apriani et al., 2025)","manualFormatting":"(Apriani et al., 2025)","plainTextFormattedCitation":"(Apriani Apriani et al., 2025)","previouslyFormattedCitation":"(Apriani Apriani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(Apriani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Yang menunjukkan bahwa jarak tempat tinggal, pekerjaan, pendidikan, dan usia berhubungan dengan persepsi masyarakat terhadap dampak TPA Terjun di Medan Marelan. Menemukan bahwa sistem </w:t>
      </w:r>
      <w:r w:rsidRPr="00CD7259">
        <w:rPr>
          <w:rFonts w:ascii="Times New Roman" w:eastAsia="Times New Roman" w:hAnsi="Times New Roman" w:cs="Times New Roman"/>
          <w:i/>
          <w:iCs/>
          <w:sz w:val="24"/>
          <w:szCs w:val="24"/>
          <w:lang w:val="en-US"/>
        </w:rPr>
        <w:t>open dumping</w:t>
      </w:r>
      <w:r w:rsidRPr="00CD7259">
        <w:rPr>
          <w:rFonts w:ascii="Times New Roman" w:eastAsia="Times New Roman" w:hAnsi="Times New Roman" w:cs="Times New Roman"/>
          <w:sz w:val="24"/>
          <w:szCs w:val="24"/>
          <w:lang w:val="en-US"/>
        </w:rPr>
        <w:t xml:space="preserve"> yang masih digunakan di TPA tersebut berdampak negatif terhadap lingkungan dan kesehatan masyarakat di sekitar.</w:t>
      </w:r>
    </w:p>
    <w:p w14:paraId="235289E8"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Dari aspek Kesehatan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{"citationItems":[{"id":"ITEM-1","itemData":{"ISSN":"2088-7612","abstract":"Kehadiran suatu tempat pembuangan akhir sampah (TPA) dalam suatu wilayah tentu akan menimbulkan masalah bagi penduduk sekitar, terutama yang menetap dengan jarak &lt; 1 km. berdasarkan peraturan pemerintah No 18 tahun 2012 bahwa jarak pemukiman harus lebih dari 1 km. apabila tempat pembuangan akhir sampah tidak dikelola dengan baik, tentu akan menyebabkan pencemaran kualitas air, pencemaran udara, pencemaran tanah dari tumpukan sampah yang ditimbun. Studi literatur ini bertujuan untuk mengetahui dampak kesehatan pada masyarakat yang tinggal disekitar tempat pembuangan akhir (TPA) sampah dan faktor resiko yang dapat meningkatkan gangguan kesehata masyarakat. Metode yang digunakan dalam kajian ini adalah literature review. Pengumpulan literatur dilakukan melalui database http://garuda.ristekdikti.go.id dan Google Scholar yang diterbitkan dalam kurun waktu tahun 2015 sampai dengan 2019. Ditemukan keluhan gangguan Kesehatan pada masyarakat sekitar TPA yaitu penyakit kulit, diare, gangguan pernapasan, nyeri dada, mata pedih, tenggorokan kering, tenggorokan panas, kepala pusing, batuk-batuk, cacingan dan sesak napas. Terdapat faktor yang juga menyebabkan gangguan Kesehatan masyarakat disekitar TPA adalah faktor lingkungan seperti buruknya kualitas udara yang dipengaruhi oleh pencemaran air, pencemaran udara, pencemaran tanah yang dapat menyebabkan penyakit muncul akibat adanya penumpukan dan penimbunan sampah yang menyebabkan perkembangbiakan bakteri, vector penyakit dan virus. Kata Kunci: TPA Sampah , Gangguan Kesehatan","author":[{"dropping-particle":"","family":"Axmalia","given":"Astry","non-dropping-particle":"","parse-names":false,"suffix":""},{"dropping-particle":"","family":"Mulasari","given":"Surahma Asti","non-dropping-particle":"","parse-names":false,"suffix":""}],"container-title":"Jurnal Kesehatan Komunitas","id":"ITEM-1","issue":"2","issued":{"date-parts":[["2020"]]},"page":"171-176","title":"Axmalia A, Mulasari SA. Dampak Tempat Pembuangan Akhir Sampah (TPA) Terhadap Gangguan Kesehatan Masyarakat. Jurnal Kesehatan Komunitas. 2020 Oct 2;6(2):171-6.","type":"article-journal","volume":"6"},"uris":["http://www.mendeley.com/documents/?uuid=46047871-bba1-4819-bfec-318cad565206"]}],"mendeley":{"formattedCitation":"(Axmalia &amp; Mulasari, 2020)","plainTextFormattedCitation":"(Axmalia &amp; Mulasari, 2020)","previouslyFormattedCitation":"(Axmalia &amp; Mulasari, 2020)"},"properties":{"noteIndex":0},"schema":"https://github.com/citation-style-language/schema/raw/master/csl-citation.json"}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(Axmalia &amp; Mulasari, 2020)</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melaporkan adanya keluhan seperti penyakit kulit, diare, dan gangguan pernapasan pada masyarakat sekitar TPA</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{"citationItems":[{"id":"ITEM-1","itemData":{"DOI":"10.55606/jurrish.v4i3.5940","ISSN":"2828-7630","abstract":"Waste is a problem that needs attention because it can have a negative impact on the environment and human health. Medan City, including North Sumatra, has a waste management problem that has not been optimized. One of the landfills in Medan City is Terjun Landfill. Air pollution in the Terjun landfill area of Medan City is a serious problem that affects the quality of life of the surrounding community. This study aims to assess the community's perception of air pollution in the area, identify their level of awareness of the impact of air pollution, and assess community participation in pollution control efforts. The research method used is qualitative with data collection through interviews and direct observation to residents living around Terjun landfill. The results showed that the community is aware of air pollution from landfill activities, especially the unpleasant odor that is more pronounced at night and the smoke from burning waste that disturbs respiratory health. The community also considers that this air pollution has a negative impact on their health, such as respiratory problems and decreased quality of life.\r  ","author":[{"dropping-particle":"","family":"Putri Erma Yunita","given":"","non-dropping-particle":"","parse-names":false,"suffix":""},{"dropping-particle":"","family":"Aldian Setia Luhur","given":"","non-dropping-particle":"","parse-names":false,"suffix":""},{"dropping-particle":"","family":"Nurhalizah Pasha","given":"","non-dropping-particle":"","parse-names":false,"suffix":""},{"dropping-particle":"","family":"Hamidatus Salihah","given":"","non-dropping-particle":"","parse-names":false,"suffix":""},{"dropping-particle":"","family":"Sari Wulandari","given":"","non-dropping-particle":"","parse-names":false,"suffix":""}],"container-title":"Jurnal Riset Rumpun Ilmu Sosial, Politik dan Humaniora","id":"ITEM-1","issue":"3","issued":{"date-parts":[["2025"]]},"page":"512-519","title":"Perspektif Masyarakat terhadap Pencemaran Udara di Kawasan TPA Terjun Kota Medan","type":"article-journal","volume":"4"},"uris":["http://www.mendeley.com/documents/?uuid=22eee59c-223f-47e8-9975-1cb4a3388ad1"]}],"mendeley":{"formattedCitation":"(Putri Erma Yunita et al., 2025)","plainTextFormattedCitation":"(Putri Erma Yunita et al., 2025)","previouslyFormattedCitation":"(Putri Erma Yunita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(Putri Erma Yunita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Penelitian menunjukkan bahwa pencemaran udara di sekitar Tempat Pembuangan Akhir (TPA) yang berasal dari bau tidak sedap akibat pembusukan sampah serta asap pembakaran sampah menjadi sumber utama keluhan masyarakat sekitar.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{"citationItems":[{"id":"ITEM-1","itemData":{"DOI":"10.14710/jil.21.3.616-626","ISSN":"1829-8907","abstract":"Ada beberapa aktivitas manusia yang dapat mencemari udara, salah satunya adalah kegiatan pengelolaan sampah yang ada di TPA. TPA Batu Layang merupakan tempat pemrosesan akhir sampah (TPA) di Kota Pontianak. Sampah yang telah tertimbun dalam jangka waktu tertentu akan mengalami proses dekomposisi yang menghasilkan beberapa gas pencemar, seperti H2S dan NH3. Penelitian ini bertujuan untuk menganalisis sebaran konsentrasi gas H2S dan NH3 di TPA Batu Layang Kota Pontianak yang divisualisasikan dalam bentuk peta menggunakan software ArcGIS 10.3 dengan metode IDW, serta untuk mengidentifikasi dampak gas H2S dan NH3 terhadap masyarakat di sekitar TPA Batu Layang Kota Pontianak yang dianalisis secara deskriptif menggunakan kuesioner. Pengukuran konsentrasi gas H2S dan NH3 dilakukan di empat area pada TPA Batu Layang yaitu, area kantor, area bongkar sampah, sel sampah D dan sel sampah E. Pengambilan sampel udara ambien menggunakan Impinger yang dilakukan sesuai SNI 19-7117.7-2005 untuk parameter H2S dan SNI 19.7119.1-2005 untuk parameter NH3. Pengambilan sampel dilakukan di tiga variasi waktu yaitu pagi, siang dan sore. Wawancara kuesioner dilakukan di dua Kelurahan di Pontianak Utara yaitu RT 05/RW 05 Kelurahan Batu Layang dan RT 01/RW 19 Kelurahan Siantan Hilir dengan masing-masing jumlah responden 17 orang tiap kelurahan. Hasil penelitian didapatkan konsentrasi rata-rata H2S melebihi baku mutu sedangkan NH3 berada di bawah baku mutu. Analisis sebaran konsentrasi gas H2S dengan nilai rata-rata tertinggi (berwarna merah) sebesar 0,255 ppm berada di area sel sampah d dan nilai rata-rata terendah (berwarna hijau) 0,051 ppm di area kantor. Sedangkan untuk gas NH3 nilai rata-rata tertinggi (berwarna merah) sebesar 0,543 ppm berada di area kantor dan nilai rata-rata terendah (berwarna hijau) 0,093 ppm di area sel sampah d. Hasil identifikasi dampak H2S dan NH3 terhadap masyarakat di sekitar TPA Batu Layang yaitu keluhan gangguan pernapasan dengan persentase batuk sebesar 100%, keluar dahak 85,3% dan mengi (napas berbunyi) 17,6%.","author":[{"dropping-particle":"","family":"Chairiah","given":"Anissa","non-dropping-particle":"","parse-names":false,"suffix":""},{"dropping-particle":"","family":"Jati","given":"Dian Rahayu","non-dropping-particle":"","parse-names":false,"suffix":""},{"dropping-particle":"","family":"Sulastri","given":"Aini","non-dropping-particle":"","parse-names":false,"suffix":""}],"container-title":"Jurnal Ilmu Lingkungan","id":"ITEM-1","issue":"3","issued":{"date-parts":[["2023"]]},"page":"616-626","title":"Analisis Sebaran Konsentrasi Gas H2S dan NH3 serta Dampaknya terhadap Masyarakat di sekitar TPA Batu Layang Kota Pontianak","type":"article-journal","volume":"21"},"uris":["http://www.mendeley.com/documents/?uuid=f1208eaf-e05b-425e-bcde-39d7e6c40a43"]}],"mendeley":{"formattedCitation":"(Chairiah et al., 2023)","plainTextFormattedCitation":"(Chairiah et al., 2023)","previouslyFormattedCitation":"(Chairiah et al., 2023)"},"properties":{"noteIndex":0},"schema":"https://github.com/citation-style-language/schema/raw/master/csl-citation.json"}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(Chairiah et al., 2023)</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menunjukkan bahwa paparan gas H₂S dan NH₃ berhubungan dengan gangguan pernapasan, sedangkan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{"citationItems":[{"id":"ITEM-1","itemData":{"ISBN":"9789896540821","author":[{"dropping-particle":"","family":"Farisa Hidayatullah","given":"Surahma Asti Mulasari","non-dropping-particle":"","parse-names":false,"suffix":""}],"container-title":"jurnal kesehatan","id":"ITEM-1","issue":"1","issued":{"date-parts":[["2020"]]},"page":"1-9","title":"No Gangguan Saluran Penapasan Akibat Pencemaran Udara di Lingkungan Tempat Pembuangan Akhir (TPA) Farisa","type":"article-journal","volume":"21"},"uris":["http://www.mendeley.com/documents/?uuid=f6c8dfd8-26aa-498d-94fa-041f0b5b9089"]}],"mendeley":{"formattedCitation":"(Farisa Hidayatullah, 2020)","plainTextFormattedCitation":"(Farisa Hidayatullah, 2020)","previouslyFormattedCitation":"(Farisa Hidayatullah, 2020)"},"properties":{"noteIndex":0},"schema":"https://github.com/citation-style-language/schema/raw/master/csl-citation.json"}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(Farisa Hidayatullah, 2020)</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menjelaskan bahwa semakin dekat jarak tempat tinggal dengan TPA, semakin tinggi risiko gangguan pernapasan.</w:t>
      </w:r>
    </w:p>
    <w:p w14:paraId="30813F9B"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lastRenderedPageBreak/>
        <w:t>Dari aspek sosial, keberadaan TPA memberikan dampak yang nyata terhadap tatanan sosial masyarakat di sekitarnya.</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{"citationItems":[{"id":"ITEM-1","itemData":{"abstract":"The aims of the research were to reveal the daily social activities of the people living around a landfill and to find out the impact of the existence of a landfill of Piyungan Bantul on the condition of the surrounding society. The reserach method used was descriptive qualitative. The data were collected through interviews and observations. The respondents of the interviews were the manager of the landfill of Piyungn, the head of the dusun, the head of the neighbourhood organization, the chief of the mosque caretakers, the chief of the scavenger organization, the people of Dusun Ngablak and some scavengers. In conducting the observation, the reserachers used an observation guide, namely the observation on the interaction of the people in the society, how the members of the society invilve themselves in the social life, and how the scavengers work in the landfill. The type of observation was partial participative observation. The result of the research showed that the impact of the landfill on the social activities was that it brought extra activities for the people such as working as scavengers, running small shops, and raising cattle. The impacts on the social condition of the society were that the people's economy was getting better, the unemployment rate decreased, the people's quality of life improved. Environmentally, the lanfill caused pollution to the environment and air pollution. In terms of health, people did not care about the landfill as they considered it as somthing common. In the aspect of social life, the people living around the landfill did not have good communication and interaction with their neighbours as they were busy with their own jobs. In relation to education, parents did not give enough attention to their children's education because they spent more time in the landfill to get rupiahs. They believed that the landfill is a field of gold.","author":[{"dropping-particle":"","family":"Solikhah","given":"Novia Harum","non-dropping-particle":"","parse-names":false,"suffix":""},{"dropping-particle":"","family":"Hidayat","given":"Ahmad Syaiful","non-dropping-particle":"","parse-names":false,"suffix":""},{"dropping-particle":"","family":"Angga","given":"Alvian","non-dropping-particle":"","parse-names":false,"suffix":""},{"dropping-particle":"","family":"Ardian","given":"Nur","non-dropping-particle":"","parse-names":false,"suffix":""}],"id":"ITEM-1","issued":{"date-parts":[["2018"]]},"page":"1-8","title":"Dampak Keberadaan Tempat Pembuangan Akhir (TPA) Terhadap Kondisi Sosial Masyarakat Dusun Ngeblak, Desa Sitimulyo, Kecamatan Piyungan, Kabupaten Bantul","type":"article-journal"},"uris":["http://www.mendeley.com/documents/?uuid=c939afb1-e431-48d0-9db6-5b77f4f0805b"]}],"mendeley":{"formattedCitation":"(Solikhah et al., 2018)","plainTextFormattedCitation":"(Solikhah et al., 2018)","previouslyFormattedCitation":"(Solikhah et al., 2018)"},"properties":{"noteIndex":0},"schema":"https://github.com/citation-style-language/schema/raw/master/csl-citation.json"}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(Solikhah et al., 2018)</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Keberadaan TPA berdampak pada kondisi sosial masyarakat sekitar, termasuk perubahan pada aktivitas sosial sehari-hari dan interaksi antarwarga yang tinggal di sekitar lokasi TPA.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{"citationItems":[{"id":"ITEM-1","itemData":{"abstract":"Waste management is a systematic and sustainable activity that includes reducing and handling waste. Social conflict is a social process in which individuals or groups try to fulfill their goals by opposing opposing parties accompanied by threats or violence. The aim of this research is to describe the social conflict that occurs in the community living around the Sambutan District TPA in the form of a foul smell arising from piles of rubbish as well as acts of thuggery experienced by rubbish truck drivers and to describe the implementation of Law Number 18 of 2008 concerning Waste Management in Overcoming Social Conflict Between Communities Around the Sambutan District TPA. Types of qualitative phenomenological research. The research was conducted at the Sambutan District TPA in March 2024- May 2024. The research subjects were one Head of the Sambutan TPA UPTD, one TPA Supervisor and four communities around the Sambutan TPA using observation, interview and documentation techniques. Data analysis techniques are data collection, data reduction, data presentation and data collection. The results of the research show that the implementation of Law Number 18 of 2008 concerning Waste Management in Overcoming Social Conflict between the communities around the Sambutan District TPA shows that the head of the UPTD and the Sambutan TPA Supervisor have carried out waste management in accordance with Law Number 18 of 2008, such as using waste during 3 days to reduce the stench from piles of rubbish and operate rubbish truck drivers at certain hours to avoid acts of thuggery at night, this is to overcome social conflicts between communities around the TPA in Sambutan sub-district.","author":[{"dropping-particle":"","family":"Selviyani","given":"","non-dropping-particle":"","parse-names":false,"suffix":""},{"dropping-particle":"","family":"Bahzar","given":"Mohammad","non-dropping-particle":"","parse-names":false,"suffix":""},{"dropping-particle":"","family":"Wingkolatin","given":"","non-dropping-particle":"","parse-names":false,"suffix":""},{"dropping-particle":"","family":"Hardoko","given":"A","non-dropping-particle":"","parse-names":false,"suffix":""},{"dropping-particle":"","family":"Jamil","given":"","non-dropping-particle":"","parse-names":false,"suffix":""},{"dropping-particle":"","family":"Marwiah","given":"","non-dropping-particle":"","parse-names":false,"suffix":""}],"container-title":"SOSIAL : Jurnal Ilmiah Pendidikan IPS","id":"ITEM-1","issue":"3","issued":{"date-parts":[["2024"]]},"page":"08-15","title":"Implementasi UU No 18 Tahun 2008 Tentang Pengelolaan Sampah dalam Mengatasi Konflik Sosial Masyarakat yang Terjadi di Sekitar TPA Kecamatan Sambutan","type":"article-journal","volume":"2"},"uris":["http://www.mendeley.com/documents/?uuid=4b6dfb88-966a-4e34-bb91-e0a23f672692"]}],"mendeley":{"formattedCitation":"(Selviyani et al., 2024)","plainTextFormattedCitation":"(Selviyani et al., 2024)","previouslyFormattedCitation":"(Selviyani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(Selviyani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Keberadaan TPA dapat menimbulkan konflik sosial di masyarakat sekitarnya yang bersumber dari gangguan bau akibat tumpukan sampah maupun ketegangan antara warga dan pengelola TPA. Hal ini menunjukkan bahwa dampak sosial TPA tidak hanya bersifat pasif berupa penurunan kenyamanan, tetapi juga dapat berkembang menjadi gesekan aktif dalam kehidupan bermasyarakat.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uthor":[{"dropping-particle":"","family":"Aulia","given":"Prafita","non-dropping-particle":"","parse-names":false,"suffix":""},{"dropping-particle":"","family":"Wardani","given":"Candra","non-dropping-particle":"","parse-names":false,"suffix":""},{"dropping-particle":"","family":"Widyasamratri","given":"Hasti","non-dropping-particle":"","parse-names":false,"suffix":""},{"dropping-particle":"","family":"Studi","given":"Program","non-dropping-particle":"","parse-names":false,"suffix":""},{"dropping-particle":"","family":"Wilayah","given":"Perencanaan","non-dropping-particle":"","parse-names":false,"suffix":""},{"dropping-particle":"","family":"Islam","given":"Universitas","non-dropping-particle":"","parse-names":false,"suffix":""},{"dropping-particle":"","family":"Agung","given":"Sultan","non-dropping-particle":"","parse-names":false,"suffix":""}],"id":"ITEM-1","issued":{"date-parts":[["2026"]]},"page":"107-126","title":"TERHADAP SOSIAL MASYARAKAT DI DESA KLEGEN ,","type":"article-journal"},"uris":["http://www.mendeley.com/documents/?uuid=90cb7d51-a0df-45a4-81db-6add20381ad1"]}],"mendeley":{"formattedCitation":"(Aulia et al., 2026)","plainTextFormattedCitation":"(Aulia et al., 2026)","previouslyFormattedCitation":"(Aulia et al., 2026)"},"properties":{"noteIndex":0},"schema":"https://github.com/citation-style-language/schema/raw/master/csl-citation.json"}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(Aulia et al., 2026)</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menyatakan bahwa keberadaan TPA dapat menimbulkan dampak sosial berupa terganggunya aktivitas masyarakat, munculnya keluhan, serta perubahan kondisi sosial dan persepsi masyarakat sekitar.</w:t>
      </w:r>
    </w:p>
    <w:p w14:paraId="6971EB3B"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Hipotesis Penelitian</w:t>
      </w:r>
    </w:p>
    <w:p w14:paraId="525A330A"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Berdasarkan kajian teoretis dan tinjauan penelitian terdahulu di atas, hipotesis yang diajukan adalah H₀: Tidak terdapat perbedaan yang signifikan antara tingkat kenyamanan masyarakat yang bermukim pada jarak dekat (0–600 m) dan jarak jauh (700–1.000 m) dari TPA Terjun Marelan. Dan H₁: terdapat perbedaan yang signifikan antara tingkat kenyamanan masyarakat pada kedua kelompok jarak tersebut.</w:t>
      </w:r>
    </w:p>
    <w:p w14:paraId="7C55FE68" w14:textId="48955126"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025545E8"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Penelitian ini menggunakan pendekatan kuantitatif dengan desain komparatif, yaitu membandingkan dua kelompok independen berdasarkan perbedaan jarak tempat tinggal. Penelitian dilaksanakan di sekitar TPA Terjun Marelan, Kelurahan Terjun, Kecamatan Medan Marelan, Kota Medan pada tahun 2026.</w:t>
      </w:r>
    </w:p>
    <w:p w14:paraId="1C6775E1"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Populasi penelitian adalah kepala keluarga yang tinggal di sekitar TPA Terjun Marelan dengan radius 0–1.000 meter dan telah menetap minimal satu tahun. Sampel ditentukan menggunakan teknik </w:t>
      </w:r>
      <w:r w:rsidRPr="00CD7259">
        <w:rPr>
          <w:rFonts w:ascii="Times New Roman" w:eastAsia="Times New Roman" w:hAnsi="Times New Roman" w:cs="Times New Roman"/>
          <w:i/>
          <w:iCs/>
          <w:sz w:val="24"/>
          <w:szCs w:val="24"/>
          <w:lang w:val="en-US"/>
        </w:rPr>
        <w:t>purposive sampling</w:t>
      </w:r>
      <w:r w:rsidRPr="00CD7259">
        <w:rPr>
          <w:rFonts w:ascii="Times New Roman" w:eastAsia="Times New Roman" w:hAnsi="Times New Roman" w:cs="Times New Roman"/>
          <w:sz w:val="24"/>
          <w:szCs w:val="24"/>
          <w:lang w:val="en-US"/>
        </w:rPr>
        <w:t xml:space="preserve"> berdasarkan kriteria jarak tempat tinggal dan kesediaan responden, dengan total 40 responden yang dibagi menjadi dua kelompok, yaitu kelompok jarak dekat (0–600 m) dan kelompok jarak jauh (700–1.000 m), masing-masing sebanyak 20 responden.</w:t>
      </w:r>
    </w:p>
    <w:p w14:paraId="4821ECBE" w14:textId="77777777" w:rsidR="00CD7259" w:rsidRPr="00CD7259" w:rsidRDefault="00CD7259" w:rsidP="00CD7259">
      <w:pPr>
        <w:spacing w:before="120" w:after="0" w:line="360" w:lineRule="auto"/>
        <w:ind w:firstLine="562"/>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lastRenderedPageBreak/>
        <w:t xml:space="preserve">Instrumen penelitian berupa angket dengan 15 butir pernyataan yang disusun berdasarkan </w:t>
      </w:r>
      <w:proofErr w:type="gramStart"/>
      <w:r w:rsidRPr="00CD7259">
        <w:rPr>
          <w:rFonts w:ascii="Times New Roman" w:eastAsia="Times New Roman" w:hAnsi="Times New Roman" w:cs="Times New Roman"/>
          <w:sz w:val="24"/>
          <w:szCs w:val="24"/>
          <w:lang w:val="en-US"/>
        </w:rPr>
        <w:t>lima</w:t>
      </w:r>
      <w:proofErr w:type="gramEnd"/>
      <w:r w:rsidRPr="00CD7259">
        <w:rPr>
          <w:rFonts w:ascii="Times New Roman" w:eastAsia="Times New Roman" w:hAnsi="Times New Roman" w:cs="Times New Roman"/>
          <w:sz w:val="24"/>
          <w:szCs w:val="24"/>
          <w:lang w:val="en-US"/>
        </w:rPr>
        <w:t xml:space="preserve"> indikator kenyamanan masyarakat. Setiap butir dijawab menggunakan skala Likert empat tingkat: A (Sangat Setuju) = 4, B (Setuju) = 3, C (Tidak Setuju) = 2, D (Sangat Tidak Setuju) = 1. Rentang skor total teoritis adalah 15 (minimum) hingga 60 (maksimum). Kelima indikator tersebut meliputi: (1) manfaat dan ekonomi bagi masyarakat sekitar (butir P1–P3), (2) pengelolaan dan operasional TPA (butir P4–P6), (3) dampak pencemaran lingkungan (butir P7–P9), (4) kenyamanan tempat tinggal dan dampak sosial (butir P10–P12), serta (5) dampak kesehatan dan kualitas hidup warga (butir P13–P15).</w:t>
      </w:r>
    </w:p>
    <w:p w14:paraId="2871349B" w14:textId="588401C0" w:rsidR="00CD7259" w:rsidRDefault="00CD7259" w:rsidP="00CD7259">
      <w:pPr>
        <w:spacing w:before="120" w:after="0" w:line="360" w:lineRule="auto"/>
        <w:ind w:firstLine="562"/>
        <w:jc w:val="both"/>
        <w:rPr>
          <w:rFonts w:ascii="Times New Roman" w:eastAsia="Times New Roman" w:hAnsi="Times New Roman" w:cs="Times New Roman"/>
          <w:sz w:val="24"/>
          <w:szCs w:val="24"/>
        </w:rPr>
      </w:pPr>
      <w:r w:rsidRPr="00CD7259">
        <w:rPr>
          <w:rFonts w:ascii="Times New Roman" w:eastAsia="Times New Roman" w:hAnsi="Times New Roman" w:cs="Times New Roman"/>
          <w:sz w:val="24"/>
          <w:szCs w:val="24"/>
          <w:lang w:val="en-US"/>
        </w:rPr>
        <w:t xml:space="preserve">Analisis data dilakukan secara bertahap menggunakan IBM SPSS Statistics 22, meliputi: (1) uji validitas Pearson Product-Moment (Sig. &lt; 0,05); (2) uji reliabilitas Cronbach’s Alpha (α ≥ 0,60); (3) analisis statistik deskriptif; (4) uji normalitas Kolmogorov-Smirnov; (5) uji homogenitas Levene’s Test; serta (6) uji hipotesis </w:t>
      </w:r>
      <w:r w:rsidRPr="00CD7259">
        <w:rPr>
          <w:rFonts w:ascii="Times New Roman" w:eastAsia="Times New Roman" w:hAnsi="Times New Roman" w:cs="Times New Roman"/>
          <w:i/>
          <w:iCs/>
          <w:sz w:val="24"/>
          <w:szCs w:val="24"/>
          <w:lang w:val="en-US"/>
        </w:rPr>
        <w:t>Independent Sample t-Test</w:t>
      </w:r>
      <w:r w:rsidRPr="00CD7259">
        <w:rPr>
          <w:rFonts w:ascii="Times New Roman" w:eastAsia="Times New Roman" w:hAnsi="Times New Roman" w:cs="Times New Roman"/>
          <w:sz w:val="24"/>
          <w:szCs w:val="24"/>
          <w:lang w:val="en-US"/>
        </w:rPr>
        <w:t xml:space="preserve"> pada taraf signifikansi α = 0,05. Apabila asumsi normalitas tidak terpenuhi, digunakan uji Mann-Whitney U sebagai alternatif non-parametrik</w:t>
      </w:r>
    </w:p>
    <w:p w14:paraId="501BADAF" w14:textId="37C48505"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075B8DF5"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i/>
          <w:iCs/>
          <w:sz w:val="24"/>
          <w:szCs w:val="24"/>
          <w:lang w:val="en-US"/>
        </w:rPr>
        <w:t>Pengumpulan Data dan Lokasi Penelitian</w:t>
      </w:r>
    </w:p>
    <w:p w14:paraId="5E61A5CD"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Penelitian ini dilaksanakan di sekitar Tempat Pembuangan Akhir (TPA) Terjun Marelan yang berlokasi di Kelurahan Terjun, Kecamatan Medan Marelan, Kota Medan, Sumatera Utara. Pengumpulan data dilakukan pada tahun 2026 dengan menggunakan metode survei melalui penyebaran angket kepada masyarakat yang tinggal di sekitar area TPA.</w:t>
      </w:r>
    </w:p>
    <w:p w14:paraId="63229358" w14:textId="77777777" w:rsid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Responden penelitian berjumlah 40 orang yang dibagi menjadi dua kelompok berdasarkan jarak tempat tinggal dari TPA, yaitu kelompok jarak dekat (0–600 meter) sebanyak 20 responden dan kelompok jarak jauh (700–1.000 meter) sebanyak 20 responden. Pemilihan responden dilakukan menggunakan teknik purposive sampling dengan kriteria utama, yaitu masyarakat yang telah bermukim minimal satu tahun di lokasi tersebut agar memiliki pengalaman langsung terhadap kondisi lingkungan sekitar TPA.</w:t>
      </w:r>
    </w:p>
    <w:p w14:paraId="2B7D25B2" w14:textId="77777777" w:rsidR="00301F1E" w:rsidRPr="00CD7259" w:rsidRDefault="00301F1E" w:rsidP="00CD7259">
      <w:pPr>
        <w:spacing w:before="120" w:after="0" w:line="360" w:lineRule="auto"/>
        <w:ind w:firstLine="567"/>
        <w:jc w:val="both"/>
        <w:rPr>
          <w:rFonts w:ascii="Times New Roman" w:eastAsia="Times New Roman" w:hAnsi="Times New Roman" w:cs="Times New Roman"/>
          <w:sz w:val="24"/>
          <w:szCs w:val="24"/>
          <w:lang w:val="en-US"/>
        </w:rPr>
      </w:pPr>
    </w:p>
    <w:p w14:paraId="407B8A0F"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lastRenderedPageBreak/>
        <w:t>Hasil Uji Validitas dan Reliabilitas Instrumen</w:t>
      </w:r>
    </w:p>
    <w:p w14:paraId="5E6C3B49"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Pengujian validitas dilakukan terhadap 15 butir pernyataan dengan melibatkan 40 responden. Hasil menunjukkan bahwa 13 butir dinyatakan valid (Sig. &lt; 0</w:t>
      </w:r>
      <w:proofErr w:type="gramStart"/>
      <w:r w:rsidRPr="00CD7259">
        <w:rPr>
          <w:rFonts w:ascii="Times New Roman" w:eastAsia="Times New Roman" w:hAnsi="Times New Roman" w:cs="Times New Roman"/>
          <w:sz w:val="24"/>
          <w:szCs w:val="24"/>
          <w:lang w:val="en-US"/>
        </w:rPr>
        <w:t>,05</w:t>
      </w:r>
      <w:proofErr w:type="gramEnd"/>
      <w:r w:rsidRPr="00CD7259">
        <w:rPr>
          <w:rFonts w:ascii="Times New Roman" w:eastAsia="Times New Roman" w:hAnsi="Times New Roman" w:cs="Times New Roman"/>
          <w:sz w:val="24"/>
          <w:szCs w:val="24"/>
          <w:lang w:val="en-US"/>
        </w:rPr>
        <w:t>), sedangkan dua butir, yaitu P4 (Komunikasi pengelola dengan warga, Sig. = 0,066) dan P5 (Akses fasilitas umum di sekitar TPA, Sig. = 0,327), tidak memenuhi kriteria validitas.</w:t>
      </w:r>
    </w:p>
    <w:p w14:paraId="792B578D" w14:textId="77777777" w:rsidR="00CD7259" w:rsidRPr="00CD7259" w:rsidRDefault="00CD7259" w:rsidP="00CD7259">
      <w:pPr>
        <w:spacing w:before="120" w:after="0" w:line="360" w:lineRule="auto"/>
        <w:jc w:val="center"/>
        <w:rPr>
          <w:rFonts w:ascii="Times New Roman" w:eastAsia="Times New Roman" w:hAnsi="Times New Roman" w:cs="Times New Roman"/>
          <w:i/>
          <w:iCs/>
          <w:sz w:val="24"/>
          <w:szCs w:val="24"/>
          <w:lang w:val="en-US"/>
        </w:rPr>
      </w:pPr>
      <w:proofErr w:type="gramStart"/>
      <w:r w:rsidRPr="00CD7259">
        <w:rPr>
          <w:rFonts w:ascii="Times New Roman" w:eastAsia="Times New Roman" w:hAnsi="Times New Roman" w:cs="Times New Roman"/>
          <w:i/>
          <w:iCs/>
          <w:sz w:val="24"/>
          <w:szCs w:val="24"/>
          <w:lang w:val="en-US"/>
        </w:rPr>
        <w:t>table</w:t>
      </w:r>
      <w:proofErr w:type="gramEnd"/>
      <w:r w:rsidRPr="00CD7259">
        <w:rPr>
          <w:rFonts w:ascii="Times New Roman" w:eastAsia="Times New Roman" w:hAnsi="Times New Roman" w:cs="Times New Roman"/>
          <w:i/>
          <w:iCs/>
          <w:sz w:val="24"/>
          <w:szCs w:val="24"/>
          <w:lang w:val="en-US"/>
        </w:rPr>
        <w:t xml:space="preserve"> 1Hasil Uji validitas instrument</w:t>
      </w:r>
    </w:p>
    <w:tbl>
      <w:tblPr>
        <w:tblStyle w:val="TableGrid"/>
        <w:tblW w:w="0" w:type="auto"/>
        <w:jc w:val="center"/>
        <w:tblLook w:val="04A0" w:firstRow="1" w:lastRow="0" w:firstColumn="1" w:lastColumn="0" w:noHBand="0" w:noVBand="1"/>
      </w:tblPr>
      <w:tblGrid>
        <w:gridCol w:w="510"/>
        <w:gridCol w:w="710"/>
        <w:gridCol w:w="2886"/>
        <w:gridCol w:w="977"/>
        <w:gridCol w:w="1156"/>
        <w:gridCol w:w="1455"/>
      </w:tblGrid>
      <w:tr w:rsidR="00CD7259" w:rsidRPr="00CD7259" w14:paraId="7D42C0DE"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CABBF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No</w:t>
            </w: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9A342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Butir </w:t>
            </w:r>
          </w:p>
        </w:tc>
        <w:tc>
          <w:tcPr>
            <w:tcW w:w="28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0CE5BF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Pertanyaan</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7AB9A67"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Sig. (2-tailed)</w:t>
            </w:r>
          </w:p>
        </w:tc>
        <w:tc>
          <w:tcPr>
            <w:tcW w:w="11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4F42A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alpha</w:t>
            </w:r>
          </w:p>
        </w:tc>
        <w:tc>
          <w:tcPr>
            <w:tcW w:w="145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BDB7D9"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keterangan</w:t>
            </w:r>
          </w:p>
        </w:tc>
      </w:tr>
      <w:tr w:rsidR="00CD7259" w:rsidRPr="00CD7259" w14:paraId="5EB9C9F3"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04EDF7F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w:t>
            </w:r>
          </w:p>
        </w:tc>
        <w:tc>
          <w:tcPr>
            <w:tcW w:w="710" w:type="dxa"/>
            <w:tcBorders>
              <w:top w:val="single" w:sz="4" w:space="0" w:color="auto"/>
              <w:left w:val="single" w:sz="4" w:space="0" w:color="auto"/>
              <w:bottom w:val="single" w:sz="4" w:space="0" w:color="auto"/>
              <w:right w:val="single" w:sz="4" w:space="0" w:color="auto"/>
            </w:tcBorders>
            <w:hideMark/>
          </w:tcPr>
          <w:p w14:paraId="384E873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w:t>
            </w:r>
          </w:p>
        </w:tc>
        <w:tc>
          <w:tcPr>
            <w:tcW w:w="2886" w:type="dxa"/>
            <w:tcBorders>
              <w:top w:val="single" w:sz="4" w:space="0" w:color="auto"/>
              <w:left w:val="single" w:sz="4" w:space="0" w:color="auto"/>
              <w:bottom w:val="single" w:sz="4" w:space="0" w:color="auto"/>
              <w:right w:val="single" w:sz="4" w:space="0" w:color="auto"/>
            </w:tcBorders>
            <w:hideMark/>
          </w:tcPr>
          <w:p w14:paraId="37A508B7"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Manfaat ekonomi dari keberadaan TPA</w:t>
            </w:r>
          </w:p>
        </w:tc>
        <w:tc>
          <w:tcPr>
            <w:tcW w:w="977" w:type="dxa"/>
            <w:tcBorders>
              <w:top w:val="single" w:sz="4" w:space="0" w:color="auto"/>
              <w:left w:val="single" w:sz="4" w:space="0" w:color="auto"/>
              <w:bottom w:val="single" w:sz="4" w:space="0" w:color="auto"/>
              <w:right w:val="single" w:sz="4" w:space="0" w:color="auto"/>
            </w:tcBorders>
            <w:hideMark/>
          </w:tcPr>
          <w:p w14:paraId="514C2ADF"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7215976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415E6E49"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6D994467"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18854A8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w:t>
            </w:r>
          </w:p>
        </w:tc>
        <w:tc>
          <w:tcPr>
            <w:tcW w:w="710" w:type="dxa"/>
            <w:tcBorders>
              <w:top w:val="single" w:sz="4" w:space="0" w:color="auto"/>
              <w:left w:val="single" w:sz="4" w:space="0" w:color="auto"/>
              <w:bottom w:val="single" w:sz="4" w:space="0" w:color="auto"/>
              <w:right w:val="single" w:sz="4" w:space="0" w:color="auto"/>
            </w:tcBorders>
            <w:hideMark/>
          </w:tcPr>
          <w:p w14:paraId="4C89731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P2</w:t>
            </w:r>
          </w:p>
        </w:tc>
        <w:tc>
          <w:tcPr>
            <w:tcW w:w="2886" w:type="dxa"/>
            <w:tcBorders>
              <w:top w:val="single" w:sz="4" w:space="0" w:color="auto"/>
              <w:left w:val="single" w:sz="4" w:space="0" w:color="auto"/>
              <w:bottom w:val="single" w:sz="4" w:space="0" w:color="auto"/>
              <w:right w:val="single" w:sz="4" w:space="0" w:color="auto"/>
            </w:tcBorders>
          </w:tcPr>
          <w:p w14:paraId="5011F75A"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Munculnya usaha baru di sekitar TPA</w:t>
            </w:r>
          </w:p>
          <w:p w14:paraId="5C4B0D0A" w14:textId="77777777" w:rsidR="00CD7259" w:rsidRPr="00CD7259" w:rsidRDefault="00CD7259" w:rsidP="00CD7259">
            <w:pPr>
              <w:spacing w:before="120"/>
              <w:jc w:val="both"/>
              <w:rPr>
                <w:rFonts w:ascii="Times New Roman" w:eastAsia="Times New Roman" w:hAnsi="Times New Roman" w:cs="Times New Roman"/>
                <w:sz w:val="24"/>
                <w:szCs w:val="24"/>
                <w:lang w:val="en-US"/>
              </w:rPr>
            </w:pPr>
          </w:p>
        </w:tc>
        <w:tc>
          <w:tcPr>
            <w:tcW w:w="977" w:type="dxa"/>
            <w:tcBorders>
              <w:top w:val="single" w:sz="4" w:space="0" w:color="auto"/>
              <w:left w:val="single" w:sz="4" w:space="0" w:color="auto"/>
              <w:bottom w:val="single" w:sz="4" w:space="0" w:color="auto"/>
              <w:right w:val="single" w:sz="4" w:space="0" w:color="auto"/>
            </w:tcBorders>
            <w:hideMark/>
          </w:tcPr>
          <w:p w14:paraId="46400E33"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226DA501"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635FCF1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Valid </w:t>
            </w:r>
          </w:p>
        </w:tc>
      </w:tr>
      <w:tr w:rsidR="00CD7259" w:rsidRPr="00CD7259" w14:paraId="4BA96DEE"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2BE21E74"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3</w:t>
            </w:r>
          </w:p>
        </w:tc>
        <w:tc>
          <w:tcPr>
            <w:tcW w:w="710" w:type="dxa"/>
            <w:tcBorders>
              <w:top w:val="single" w:sz="4" w:space="0" w:color="auto"/>
              <w:left w:val="single" w:sz="4" w:space="0" w:color="auto"/>
              <w:bottom w:val="single" w:sz="4" w:space="0" w:color="auto"/>
              <w:right w:val="single" w:sz="4" w:space="0" w:color="auto"/>
            </w:tcBorders>
            <w:hideMark/>
          </w:tcPr>
          <w:p w14:paraId="1CB7058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P3</w:t>
            </w:r>
          </w:p>
        </w:tc>
        <w:tc>
          <w:tcPr>
            <w:tcW w:w="2886" w:type="dxa"/>
            <w:tcBorders>
              <w:top w:val="single" w:sz="4" w:space="0" w:color="auto"/>
              <w:left w:val="single" w:sz="4" w:space="0" w:color="auto"/>
              <w:bottom w:val="single" w:sz="4" w:space="0" w:color="auto"/>
              <w:right w:val="single" w:sz="4" w:space="0" w:color="auto"/>
            </w:tcBorders>
            <w:hideMark/>
          </w:tcPr>
          <w:p w14:paraId="345B1D0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Keterlibatan warga dalam kegiatan TPA</w:t>
            </w:r>
          </w:p>
        </w:tc>
        <w:tc>
          <w:tcPr>
            <w:tcW w:w="977" w:type="dxa"/>
            <w:tcBorders>
              <w:top w:val="single" w:sz="4" w:space="0" w:color="auto"/>
              <w:left w:val="single" w:sz="4" w:space="0" w:color="auto"/>
              <w:bottom w:val="single" w:sz="4" w:space="0" w:color="auto"/>
              <w:right w:val="single" w:sz="4" w:space="0" w:color="auto"/>
            </w:tcBorders>
            <w:hideMark/>
          </w:tcPr>
          <w:p w14:paraId="26745B7F"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58E6F073"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2EA35966"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7E7E279E"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3DEB0F1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4</w:t>
            </w:r>
          </w:p>
        </w:tc>
        <w:tc>
          <w:tcPr>
            <w:tcW w:w="710" w:type="dxa"/>
            <w:tcBorders>
              <w:top w:val="single" w:sz="4" w:space="0" w:color="auto"/>
              <w:left w:val="single" w:sz="4" w:space="0" w:color="auto"/>
              <w:bottom w:val="single" w:sz="4" w:space="0" w:color="auto"/>
              <w:right w:val="single" w:sz="4" w:space="0" w:color="auto"/>
            </w:tcBorders>
            <w:hideMark/>
          </w:tcPr>
          <w:p w14:paraId="7DADBD37"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P4</w:t>
            </w:r>
          </w:p>
        </w:tc>
        <w:tc>
          <w:tcPr>
            <w:tcW w:w="2886" w:type="dxa"/>
            <w:tcBorders>
              <w:top w:val="single" w:sz="4" w:space="0" w:color="auto"/>
              <w:left w:val="single" w:sz="4" w:space="0" w:color="auto"/>
              <w:bottom w:val="single" w:sz="4" w:space="0" w:color="auto"/>
              <w:right w:val="single" w:sz="4" w:space="0" w:color="auto"/>
            </w:tcBorders>
            <w:hideMark/>
          </w:tcPr>
          <w:p w14:paraId="0D40D01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Komunikasi pengelola dengan warga</w:t>
            </w:r>
          </w:p>
        </w:tc>
        <w:tc>
          <w:tcPr>
            <w:tcW w:w="977" w:type="dxa"/>
            <w:tcBorders>
              <w:top w:val="single" w:sz="4" w:space="0" w:color="auto"/>
              <w:left w:val="single" w:sz="4" w:space="0" w:color="auto"/>
              <w:bottom w:val="single" w:sz="4" w:space="0" w:color="auto"/>
              <w:right w:val="single" w:sz="4" w:space="0" w:color="auto"/>
            </w:tcBorders>
            <w:hideMark/>
          </w:tcPr>
          <w:p w14:paraId="0A7C6FA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0,066</w:t>
            </w:r>
          </w:p>
        </w:tc>
        <w:tc>
          <w:tcPr>
            <w:tcW w:w="1156" w:type="dxa"/>
            <w:tcBorders>
              <w:top w:val="single" w:sz="4" w:space="0" w:color="auto"/>
              <w:left w:val="single" w:sz="4" w:space="0" w:color="auto"/>
              <w:bottom w:val="single" w:sz="4" w:space="0" w:color="auto"/>
              <w:right w:val="single" w:sz="4" w:space="0" w:color="auto"/>
            </w:tcBorders>
            <w:hideMark/>
          </w:tcPr>
          <w:p w14:paraId="62D43D5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034162F6"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Tidak valid</w:t>
            </w:r>
          </w:p>
        </w:tc>
      </w:tr>
      <w:tr w:rsidR="00CD7259" w:rsidRPr="00CD7259" w14:paraId="648289B5"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48C2D7B4"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5</w:t>
            </w:r>
          </w:p>
        </w:tc>
        <w:tc>
          <w:tcPr>
            <w:tcW w:w="710" w:type="dxa"/>
            <w:tcBorders>
              <w:top w:val="single" w:sz="4" w:space="0" w:color="auto"/>
              <w:left w:val="single" w:sz="4" w:space="0" w:color="auto"/>
              <w:bottom w:val="single" w:sz="4" w:space="0" w:color="auto"/>
              <w:right w:val="single" w:sz="4" w:space="0" w:color="auto"/>
            </w:tcBorders>
            <w:hideMark/>
          </w:tcPr>
          <w:p w14:paraId="75D9F62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P5</w:t>
            </w:r>
          </w:p>
        </w:tc>
        <w:tc>
          <w:tcPr>
            <w:tcW w:w="2886" w:type="dxa"/>
            <w:tcBorders>
              <w:top w:val="single" w:sz="4" w:space="0" w:color="auto"/>
              <w:left w:val="single" w:sz="4" w:space="0" w:color="auto"/>
              <w:bottom w:val="single" w:sz="4" w:space="0" w:color="auto"/>
              <w:right w:val="single" w:sz="4" w:space="0" w:color="auto"/>
            </w:tcBorders>
            <w:hideMark/>
          </w:tcPr>
          <w:p w14:paraId="45C5D166"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Akses fasilitas umum di sekitar TPA</w:t>
            </w:r>
          </w:p>
        </w:tc>
        <w:tc>
          <w:tcPr>
            <w:tcW w:w="977" w:type="dxa"/>
            <w:tcBorders>
              <w:top w:val="single" w:sz="4" w:space="0" w:color="auto"/>
              <w:left w:val="single" w:sz="4" w:space="0" w:color="auto"/>
              <w:bottom w:val="single" w:sz="4" w:space="0" w:color="auto"/>
              <w:right w:val="single" w:sz="4" w:space="0" w:color="auto"/>
            </w:tcBorders>
            <w:hideMark/>
          </w:tcPr>
          <w:p w14:paraId="50FF009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0,327</w:t>
            </w:r>
          </w:p>
        </w:tc>
        <w:tc>
          <w:tcPr>
            <w:tcW w:w="1156" w:type="dxa"/>
            <w:tcBorders>
              <w:top w:val="single" w:sz="4" w:space="0" w:color="auto"/>
              <w:left w:val="single" w:sz="4" w:space="0" w:color="auto"/>
              <w:bottom w:val="single" w:sz="4" w:space="0" w:color="auto"/>
              <w:right w:val="single" w:sz="4" w:space="0" w:color="auto"/>
            </w:tcBorders>
            <w:hideMark/>
          </w:tcPr>
          <w:p w14:paraId="61C7303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3192B6F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Tidak valid</w:t>
            </w:r>
          </w:p>
        </w:tc>
      </w:tr>
      <w:tr w:rsidR="00CD7259" w:rsidRPr="00CD7259" w14:paraId="0132C408"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7EE9CC6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6</w:t>
            </w:r>
          </w:p>
        </w:tc>
        <w:tc>
          <w:tcPr>
            <w:tcW w:w="710" w:type="dxa"/>
            <w:tcBorders>
              <w:top w:val="single" w:sz="4" w:space="0" w:color="auto"/>
              <w:left w:val="single" w:sz="4" w:space="0" w:color="auto"/>
              <w:bottom w:val="single" w:sz="4" w:space="0" w:color="auto"/>
              <w:right w:val="single" w:sz="4" w:space="0" w:color="auto"/>
            </w:tcBorders>
            <w:hideMark/>
          </w:tcPr>
          <w:p w14:paraId="6A52871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P6</w:t>
            </w:r>
          </w:p>
        </w:tc>
        <w:tc>
          <w:tcPr>
            <w:tcW w:w="2886" w:type="dxa"/>
            <w:tcBorders>
              <w:top w:val="single" w:sz="4" w:space="0" w:color="auto"/>
              <w:left w:val="single" w:sz="4" w:space="0" w:color="auto"/>
              <w:bottom w:val="single" w:sz="4" w:space="0" w:color="auto"/>
              <w:right w:val="single" w:sz="4" w:space="0" w:color="auto"/>
            </w:tcBorders>
            <w:hideMark/>
          </w:tcPr>
          <w:p w14:paraId="7B15863F"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Upaya pengelola mengurangi dampak TPA</w:t>
            </w:r>
          </w:p>
        </w:tc>
        <w:tc>
          <w:tcPr>
            <w:tcW w:w="977" w:type="dxa"/>
            <w:tcBorders>
              <w:top w:val="single" w:sz="4" w:space="0" w:color="auto"/>
              <w:left w:val="single" w:sz="4" w:space="0" w:color="auto"/>
              <w:bottom w:val="single" w:sz="4" w:space="0" w:color="auto"/>
              <w:right w:val="single" w:sz="4" w:space="0" w:color="auto"/>
            </w:tcBorders>
            <w:hideMark/>
          </w:tcPr>
          <w:p w14:paraId="03CC19A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47FFB09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37277EA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5E342F99"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139727F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7</w:t>
            </w:r>
          </w:p>
        </w:tc>
        <w:tc>
          <w:tcPr>
            <w:tcW w:w="710" w:type="dxa"/>
            <w:tcBorders>
              <w:top w:val="single" w:sz="4" w:space="0" w:color="auto"/>
              <w:left w:val="single" w:sz="4" w:space="0" w:color="auto"/>
              <w:bottom w:val="single" w:sz="4" w:space="0" w:color="auto"/>
              <w:right w:val="single" w:sz="4" w:space="0" w:color="auto"/>
            </w:tcBorders>
            <w:hideMark/>
          </w:tcPr>
          <w:p w14:paraId="28E43BD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P7</w:t>
            </w:r>
          </w:p>
        </w:tc>
        <w:tc>
          <w:tcPr>
            <w:tcW w:w="2886" w:type="dxa"/>
            <w:tcBorders>
              <w:top w:val="single" w:sz="4" w:space="0" w:color="auto"/>
              <w:left w:val="single" w:sz="4" w:space="0" w:color="auto"/>
              <w:bottom w:val="single" w:sz="4" w:space="0" w:color="auto"/>
              <w:right w:val="single" w:sz="4" w:space="0" w:color="auto"/>
            </w:tcBorders>
            <w:hideMark/>
          </w:tcPr>
          <w:p w14:paraId="56D9878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Pencemaran lingkungan akibat TPA</w:t>
            </w:r>
          </w:p>
        </w:tc>
        <w:tc>
          <w:tcPr>
            <w:tcW w:w="977" w:type="dxa"/>
            <w:tcBorders>
              <w:top w:val="single" w:sz="4" w:space="0" w:color="auto"/>
              <w:left w:val="single" w:sz="4" w:space="0" w:color="auto"/>
              <w:bottom w:val="single" w:sz="4" w:space="0" w:color="auto"/>
              <w:right w:val="single" w:sz="4" w:space="0" w:color="auto"/>
            </w:tcBorders>
            <w:hideMark/>
          </w:tcPr>
          <w:p w14:paraId="7231405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0,005</w:t>
            </w:r>
          </w:p>
        </w:tc>
        <w:tc>
          <w:tcPr>
            <w:tcW w:w="1156" w:type="dxa"/>
            <w:tcBorders>
              <w:top w:val="single" w:sz="4" w:space="0" w:color="auto"/>
              <w:left w:val="single" w:sz="4" w:space="0" w:color="auto"/>
              <w:bottom w:val="single" w:sz="4" w:space="0" w:color="auto"/>
              <w:right w:val="single" w:sz="4" w:space="0" w:color="auto"/>
            </w:tcBorders>
            <w:hideMark/>
          </w:tcPr>
          <w:p w14:paraId="667F0ABF"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32CC2F0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37CA46D3"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1312F28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8</w:t>
            </w:r>
          </w:p>
        </w:tc>
        <w:tc>
          <w:tcPr>
            <w:tcW w:w="710" w:type="dxa"/>
            <w:tcBorders>
              <w:top w:val="single" w:sz="4" w:space="0" w:color="auto"/>
              <w:left w:val="single" w:sz="4" w:space="0" w:color="auto"/>
              <w:bottom w:val="single" w:sz="4" w:space="0" w:color="auto"/>
              <w:right w:val="single" w:sz="4" w:space="0" w:color="auto"/>
            </w:tcBorders>
            <w:hideMark/>
          </w:tcPr>
          <w:p w14:paraId="58EFC943"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P8</w:t>
            </w:r>
          </w:p>
        </w:tc>
        <w:tc>
          <w:tcPr>
            <w:tcW w:w="2886" w:type="dxa"/>
            <w:tcBorders>
              <w:top w:val="single" w:sz="4" w:space="0" w:color="auto"/>
              <w:left w:val="single" w:sz="4" w:space="0" w:color="auto"/>
              <w:bottom w:val="single" w:sz="4" w:space="0" w:color="auto"/>
              <w:right w:val="single" w:sz="4" w:space="0" w:color="auto"/>
            </w:tcBorders>
            <w:hideMark/>
          </w:tcPr>
          <w:p w14:paraId="0208F87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Gangguan bau tidak sedap dari TPA</w:t>
            </w:r>
          </w:p>
        </w:tc>
        <w:tc>
          <w:tcPr>
            <w:tcW w:w="977" w:type="dxa"/>
            <w:tcBorders>
              <w:top w:val="single" w:sz="4" w:space="0" w:color="auto"/>
              <w:left w:val="single" w:sz="4" w:space="0" w:color="auto"/>
              <w:bottom w:val="single" w:sz="4" w:space="0" w:color="auto"/>
              <w:right w:val="single" w:sz="4" w:space="0" w:color="auto"/>
            </w:tcBorders>
            <w:hideMark/>
          </w:tcPr>
          <w:p w14:paraId="2D30C10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0,001</w:t>
            </w:r>
          </w:p>
        </w:tc>
        <w:tc>
          <w:tcPr>
            <w:tcW w:w="1156" w:type="dxa"/>
            <w:tcBorders>
              <w:top w:val="single" w:sz="4" w:space="0" w:color="auto"/>
              <w:left w:val="single" w:sz="4" w:space="0" w:color="auto"/>
              <w:bottom w:val="single" w:sz="4" w:space="0" w:color="auto"/>
              <w:right w:val="single" w:sz="4" w:space="0" w:color="auto"/>
            </w:tcBorders>
            <w:hideMark/>
          </w:tcPr>
          <w:p w14:paraId="4268F9B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503FB9D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05062BC1"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660BE9F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9</w:t>
            </w:r>
          </w:p>
        </w:tc>
        <w:tc>
          <w:tcPr>
            <w:tcW w:w="710" w:type="dxa"/>
            <w:tcBorders>
              <w:top w:val="single" w:sz="4" w:space="0" w:color="auto"/>
              <w:left w:val="single" w:sz="4" w:space="0" w:color="auto"/>
              <w:bottom w:val="single" w:sz="4" w:space="0" w:color="auto"/>
              <w:right w:val="single" w:sz="4" w:space="0" w:color="auto"/>
            </w:tcBorders>
            <w:hideMark/>
          </w:tcPr>
          <w:p w14:paraId="721A7B7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P9</w:t>
            </w:r>
          </w:p>
        </w:tc>
        <w:tc>
          <w:tcPr>
            <w:tcW w:w="2886" w:type="dxa"/>
            <w:tcBorders>
              <w:top w:val="single" w:sz="4" w:space="0" w:color="auto"/>
              <w:left w:val="single" w:sz="4" w:space="0" w:color="auto"/>
              <w:bottom w:val="single" w:sz="4" w:space="0" w:color="auto"/>
              <w:right w:val="single" w:sz="4" w:space="0" w:color="auto"/>
            </w:tcBorders>
            <w:hideMark/>
          </w:tcPr>
          <w:p w14:paraId="7D0092C5"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Pencemaran air lindi dari TPA</w:t>
            </w:r>
          </w:p>
        </w:tc>
        <w:tc>
          <w:tcPr>
            <w:tcW w:w="977" w:type="dxa"/>
            <w:tcBorders>
              <w:top w:val="single" w:sz="4" w:space="0" w:color="auto"/>
              <w:left w:val="single" w:sz="4" w:space="0" w:color="auto"/>
              <w:bottom w:val="single" w:sz="4" w:space="0" w:color="auto"/>
              <w:right w:val="single" w:sz="4" w:space="0" w:color="auto"/>
            </w:tcBorders>
            <w:hideMark/>
          </w:tcPr>
          <w:p w14:paraId="1A0B9577"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0,001</w:t>
            </w:r>
          </w:p>
        </w:tc>
        <w:tc>
          <w:tcPr>
            <w:tcW w:w="1156" w:type="dxa"/>
            <w:tcBorders>
              <w:top w:val="single" w:sz="4" w:space="0" w:color="auto"/>
              <w:left w:val="single" w:sz="4" w:space="0" w:color="auto"/>
              <w:bottom w:val="single" w:sz="4" w:space="0" w:color="auto"/>
              <w:right w:val="single" w:sz="4" w:space="0" w:color="auto"/>
            </w:tcBorders>
            <w:hideMark/>
          </w:tcPr>
          <w:p w14:paraId="4971C07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2BF22F1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7BEB7AA7"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58C931C6"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10</w:t>
            </w:r>
          </w:p>
        </w:tc>
        <w:tc>
          <w:tcPr>
            <w:tcW w:w="710" w:type="dxa"/>
            <w:tcBorders>
              <w:top w:val="single" w:sz="4" w:space="0" w:color="auto"/>
              <w:left w:val="single" w:sz="4" w:space="0" w:color="auto"/>
              <w:bottom w:val="single" w:sz="4" w:space="0" w:color="auto"/>
              <w:right w:val="single" w:sz="4" w:space="0" w:color="auto"/>
            </w:tcBorders>
            <w:hideMark/>
          </w:tcPr>
          <w:p w14:paraId="39876EA5"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P10</w:t>
            </w:r>
          </w:p>
        </w:tc>
        <w:tc>
          <w:tcPr>
            <w:tcW w:w="2886" w:type="dxa"/>
            <w:tcBorders>
              <w:top w:val="single" w:sz="4" w:space="0" w:color="auto"/>
              <w:left w:val="single" w:sz="4" w:space="0" w:color="auto"/>
              <w:bottom w:val="single" w:sz="4" w:space="0" w:color="auto"/>
              <w:right w:val="single" w:sz="4" w:space="0" w:color="auto"/>
            </w:tcBorders>
            <w:hideMark/>
          </w:tcPr>
          <w:p w14:paraId="1BAC712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Kebisingan kendaraan pengangkut sampah</w:t>
            </w:r>
          </w:p>
        </w:tc>
        <w:tc>
          <w:tcPr>
            <w:tcW w:w="977" w:type="dxa"/>
            <w:tcBorders>
              <w:top w:val="single" w:sz="4" w:space="0" w:color="auto"/>
              <w:left w:val="single" w:sz="4" w:space="0" w:color="auto"/>
              <w:bottom w:val="single" w:sz="4" w:space="0" w:color="auto"/>
              <w:right w:val="single" w:sz="4" w:space="0" w:color="auto"/>
            </w:tcBorders>
            <w:hideMark/>
          </w:tcPr>
          <w:p w14:paraId="417CD9E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6DBF4CE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5EF519C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0534869E"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13CD46D1"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11</w:t>
            </w:r>
          </w:p>
        </w:tc>
        <w:tc>
          <w:tcPr>
            <w:tcW w:w="710" w:type="dxa"/>
            <w:tcBorders>
              <w:top w:val="single" w:sz="4" w:space="0" w:color="auto"/>
              <w:left w:val="single" w:sz="4" w:space="0" w:color="auto"/>
              <w:bottom w:val="single" w:sz="4" w:space="0" w:color="auto"/>
              <w:right w:val="single" w:sz="4" w:space="0" w:color="auto"/>
            </w:tcBorders>
            <w:hideMark/>
          </w:tcPr>
          <w:p w14:paraId="4522740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P11</w:t>
            </w:r>
          </w:p>
        </w:tc>
        <w:tc>
          <w:tcPr>
            <w:tcW w:w="2886" w:type="dxa"/>
            <w:tcBorders>
              <w:top w:val="single" w:sz="4" w:space="0" w:color="auto"/>
              <w:left w:val="single" w:sz="4" w:space="0" w:color="auto"/>
              <w:bottom w:val="single" w:sz="4" w:space="0" w:color="auto"/>
              <w:right w:val="single" w:sz="4" w:space="0" w:color="auto"/>
            </w:tcBorders>
            <w:hideMark/>
          </w:tcPr>
          <w:p w14:paraId="55C9070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Gangguan hama dari TPA</w:t>
            </w:r>
          </w:p>
        </w:tc>
        <w:tc>
          <w:tcPr>
            <w:tcW w:w="977" w:type="dxa"/>
            <w:tcBorders>
              <w:top w:val="single" w:sz="4" w:space="0" w:color="auto"/>
              <w:left w:val="single" w:sz="4" w:space="0" w:color="auto"/>
              <w:bottom w:val="single" w:sz="4" w:space="0" w:color="auto"/>
              <w:right w:val="single" w:sz="4" w:space="0" w:color="auto"/>
            </w:tcBorders>
            <w:hideMark/>
          </w:tcPr>
          <w:p w14:paraId="1C2082DF"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2649763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6B49B1B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7EA03AA0"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4B1CFEB0"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12</w:t>
            </w:r>
          </w:p>
        </w:tc>
        <w:tc>
          <w:tcPr>
            <w:tcW w:w="710" w:type="dxa"/>
            <w:tcBorders>
              <w:top w:val="single" w:sz="4" w:space="0" w:color="auto"/>
              <w:left w:val="single" w:sz="4" w:space="0" w:color="auto"/>
              <w:bottom w:val="single" w:sz="4" w:space="0" w:color="auto"/>
              <w:right w:val="single" w:sz="4" w:space="0" w:color="auto"/>
            </w:tcBorders>
            <w:hideMark/>
          </w:tcPr>
          <w:p w14:paraId="326394F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P12</w:t>
            </w:r>
          </w:p>
        </w:tc>
        <w:tc>
          <w:tcPr>
            <w:tcW w:w="2886" w:type="dxa"/>
            <w:tcBorders>
              <w:top w:val="single" w:sz="4" w:space="0" w:color="auto"/>
              <w:left w:val="single" w:sz="4" w:space="0" w:color="auto"/>
              <w:bottom w:val="single" w:sz="4" w:space="0" w:color="auto"/>
              <w:right w:val="single" w:sz="4" w:space="0" w:color="auto"/>
            </w:tcBorders>
            <w:hideMark/>
          </w:tcPr>
          <w:p w14:paraId="3157425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Kerusakan tampilan lingkungan sekitar TPA</w:t>
            </w:r>
          </w:p>
        </w:tc>
        <w:tc>
          <w:tcPr>
            <w:tcW w:w="977" w:type="dxa"/>
            <w:tcBorders>
              <w:top w:val="single" w:sz="4" w:space="0" w:color="auto"/>
              <w:left w:val="single" w:sz="4" w:space="0" w:color="auto"/>
              <w:bottom w:val="single" w:sz="4" w:space="0" w:color="auto"/>
              <w:right w:val="single" w:sz="4" w:space="0" w:color="auto"/>
            </w:tcBorders>
            <w:hideMark/>
          </w:tcPr>
          <w:p w14:paraId="7B99DA2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5853DBD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2426C6AA"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02883718"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63F6084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13</w:t>
            </w:r>
          </w:p>
        </w:tc>
        <w:tc>
          <w:tcPr>
            <w:tcW w:w="710" w:type="dxa"/>
            <w:tcBorders>
              <w:top w:val="single" w:sz="4" w:space="0" w:color="auto"/>
              <w:left w:val="single" w:sz="4" w:space="0" w:color="auto"/>
              <w:bottom w:val="single" w:sz="4" w:space="0" w:color="auto"/>
              <w:right w:val="single" w:sz="4" w:space="0" w:color="auto"/>
            </w:tcBorders>
            <w:hideMark/>
          </w:tcPr>
          <w:p w14:paraId="70A88B3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P13</w:t>
            </w:r>
          </w:p>
        </w:tc>
        <w:tc>
          <w:tcPr>
            <w:tcW w:w="2886" w:type="dxa"/>
            <w:tcBorders>
              <w:top w:val="single" w:sz="4" w:space="0" w:color="auto"/>
              <w:left w:val="single" w:sz="4" w:space="0" w:color="auto"/>
              <w:bottom w:val="single" w:sz="4" w:space="0" w:color="auto"/>
              <w:right w:val="single" w:sz="4" w:space="0" w:color="auto"/>
            </w:tcBorders>
            <w:hideMark/>
          </w:tcPr>
          <w:p w14:paraId="0CF2C89B"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Dampak kebersihan terhadap kesehatan</w:t>
            </w:r>
          </w:p>
        </w:tc>
        <w:tc>
          <w:tcPr>
            <w:tcW w:w="977" w:type="dxa"/>
            <w:tcBorders>
              <w:top w:val="single" w:sz="4" w:space="0" w:color="auto"/>
              <w:left w:val="single" w:sz="4" w:space="0" w:color="auto"/>
              <w:bottom w:val="single" w:sz="4" w:space="0" w:color="auto"/>
              <w:right w:val="single" w:sz="4" w:space="0" w:color="auto"/>
            </w:tcBorders>
            <w:hideMark/>
          </w:tcPr>
          <w:p w14:paraId="5906982E"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6D090D8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0F59C93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Valid </w:t>
            </w:r>
          </w:p>
        </w:tc>
      </w:tr>
      <w:tr w:rsidR="00CD7259" w:rsidRPr="00CD7259" w14:paraId="6685E8F4"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3EB64279"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lastRenderedPageBreak/>
              <w:t>14</w:t>
            </w:r>
          </w:p>
        </w:tc>
        <w:tc>
          <w:tcPr>
            <w:tcW w:w="710" w:type="dxa"/>
            <w:tcBorders>
              <w:top w:val="single" w:sz="4" w:space="0" w:color="auto"/>
              <w:left w:val="single" w:sz="4" w:space="0" w:color="auto"/>
              <w:bottom w:val="single" w:sz="4" w:space="0" w:color="auto"/>
              <w:right w:val="single" w:sz="4" w:space="0" w:color="auto"/>
            </w:tcBorders>
            <w:hideMark/>
          </w:tcPr>
          <w:p w14:paraId="712102FC"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P14</w:t>
            </w:r>
          </w:p>
        </w:tc>
        <w:tc>
          <w:tcPr>
            <w:tcW w:w="2886" w:type="dxa"/>
            <w:tcBorders>
              <w:top w:val="single" w:sz="4" w:space="0" w:color="auto"/>
              <w:left w:val="single" w:sz="4" w:space="0" w:color="auto"/>
              <w:bottom w:val="single" w:sz="4" w:space="0" w:color="auto"/>
              <w:right w:val="single" w:sz="4" w:space="0" w:color="auto"/>
            </w:tcBorders>
            <w:hideMark/>
          </w:tcPr>
          <w:p w14:paraId="1A7C6507"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Dampak negatif TPA terhadap kenyamanan hidup</w:t>
            </w:r>
          </w:p>
        </w:tc>
        <w:tc>
          <w:tcPr>
            <w:tcW w:w="977" w:type="dxa"/>
            <w:tcBorders>
              <w:top w:val="single" w:sz="4" w:space="0" w:color="auto"/>
              <w:left w:val="single" w:sz="4" w:space="0" w:color="auto"/>
              <w:bottom w:val="single" w:sz="4" w:space="0" w:color="auto"/>
              <w:right w:val="single" w:sz="4" w:space="0" w:color="auto"/>
            </w:tcBorders>
            <w:hideMark/>
          </w:tcPr>
          <w:p w14:paraId="313C6B2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75E86893"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7000B753"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r w:rsidR="00CD7259" w:rsidRPr="00CD7259" w14:paraId="702CB37C" w14:textId="77777777" w:rsidTr="00CD7259">
        <w:trPr>
          <w:jc w:val="center"/>
        </w:trPr>
        <w:tc>
          <w:tcPr>
            <w:tcW w:w="510" w:type="dxa"/>
            <w:tcBorders>
              <w:top w:val="single" w:sz="4" w:space="0" w:color="auto"/>
              <w:left w:val="single" w:sz="4" w:space="0" w:color="auto"/>
              <w:bottom w:val="single" w:sz="4" w:space="0" w:color="auto"/>
              <w:right w:val="single" w:sz="4" w:space="0" w:color="auto"/>
            </w:tcBorders>
            <w:hideMark/>
          </w:tcPr>
          <w:p w14:paraId="3A46D7F2"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15</w:t>
            </w:r>
          </w:p>
        </w:tc>
        <w:tc>
          <w:tcPr>
            <w:tcW w:w="710" w:type="dxa"/>
            <w:tcBorders>
              <w:top w:val="single" w:sz="4" w:space="0" w:color="auto"/>
              <w:left w:val="single" w:sz="4" w:space="0" w:color="auto"/>
              <w:bottom w:val="single" w:sz="4" w:space="0" w:color="auto"/>
              <w:right w:val="single" w:sz="4" w:space="0" w:color="auto"/>
            </w:tcBorders>
            <w:hideMark/>
          </w:tcPr>
          <w:p w14:paraId="4AD729B1"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P15</w:t>
            </w:r>
          </w:p>
        </w:tc>
        <w:tc>
          <w:tcPr>
            <w:tcW w:w="2886" w:type="dxa"/>
            <w:tcBorders>
              <w:top w:val="single" w:sz="4" w:space="0" w:color="auto"/>
              <w:left w:val="single" w:sz="4" w:space="0" w:color="auto"/>
              <w:bottom w:val="single" w:sz="4" w:space="0" w:color="auto"/>
              <w:right w:val="single" w:sz="4" w:space="0" w:color="auto"/>
            </w:tcBorders>
            <w:hideMark/>
          </w:tcPr>
          <w:p w14:paraId="3B674FC8"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Gangguan kesehatan keluarga akibat TPA </w:t>
            </w:r>
          </w:p>
        </w:tc>
        <w:tc>
          <w:tcPr>
            <w:tcW w:w="977" w:type="dxa"/>
            <w:tcBorders>
              <w:top w:val="single" w:sz="4" w:space="0" w:color="auto"/>
              <w:left w:val="single" w:sz="4" w:space="0" w:color="auto"/>
              <w:bottom w:val="single" w:sz="4" w:space="0" w:color="auto"/>
              <w:right w:val="single" w:sz="4" w:space="0" w:color="auto"/>
            </w:tcBorders>
            <w:hideMark/>
          </w:tcPr>
          <w:p w14:paraId="056C7564"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0,000</w:t>
            </w:r>
          </w:p>
        </w:tc>
        <w:tc>
          <w:tcPr>
            <w:tcW w:w="1156" w:type="dxa"/>
            <w:tcBorders>
              <w:top w:val="single" w:sz="4" w:space="0" w:color="auto"/>
              <w:left w:val="single" w:sz="4" w:space="0" w:color="auto"/>
              <w:bottom w:val="single" w:sz="4" w:space="0" w:color="auto"/>
              <w:right w:val="single" w:sz="4" w:space="0" w:color="auto"/>
            </w:tcBorders>
            <w:hideMark/>
          </w:tcPr>
          <w:p w14:paraId="2CE0269D"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455" w:type="dxa"/>
            <w:tcBorders>
              <w:top w:val="single" w:sz="4" w:space="0" w:color="auto"/>
              <w:left w:val="single" w:sz="4" w:space="0" w:color="auto"/>
              <w:bottom w:val="single" w:sz="4" w:space="0" w:color="auto"/>
              <w:right w:val="single" w:sz="4" w:space="0" w:color="auto"/>
            </w:tcBorders>
            <w:hideMark/>
          </w:tcPr>
          <w:p w14:paraId="2E363219" w14:textId="77777777" w:rsidR="00CD7259" w:rsidRPr="00CD7259" w:rsidRDefault="00CD7259" w:rsidP="00CD7259">
            <w:pPr>
              <w:spacing w:before="120"/>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Valid</w:t>
            </w:r>
          </w:p>
        </w:tc>
      </w:tr>
    </w:tbl>
    <w:p w14:paraId="7DEE840B" w14:textId="77777777" w:rsidR="00CD7259" w:rsidRPr="00CD7259" w:rsidRDefault="00CD7259" w:rsidP="00CD7259">
      <w:pPr>
        <w:spacing w:before="120" w:after="0" w:line="360" w:lineRule="auto"/>
        <w:ind w:firstLine="567"/>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i/>
          <w:iCs/>
          <w:sz w:val="24"/>
          <w:szCs w:val="24"/>
          <w:lang w:val="en-US"/>
        </w:rPr>
        <w:t>Butir tidak valid dan dikeluarkan dari analisis.</w:t>
      </w:r>
    </w:p>
    <w:p w14:paraId="424C9EB2"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Gugurnya P4 dan P5 disebabkan oleh tingginya keseragaman jawaban responden yang menjawab “Setuju” atau “Sangat Setuju”, sehingga variansi data sangat kecil dan tidak menghasilkan korelasi yang bermakna dengan skor total. Sebagaimana dinyatakan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{"citationItems":[{"id":"ITEM-1","itemData":{"DOI":"10.31004/edukatif.v6i3.6627","ISSN":"2656-8063","abstract":"Partisipasi politik merupakan semua tindakan individu yang diarahkan untuk memengaruhi pengambilan keputusan pemerintah dan hasil politik. Salah satu skala yang digunakan untuk mengukur partisipasi politik adalah Participatory Behaviors Scale (PBS). Tujuan dari penelitian ini adalah untuk menguji validitas konstruk dari Participatory Behaviors Scale (PBS). Responden dalam penelitian ini mahasiswa UIN Syarif Hidayatullah Jakarta. Metode pengambilan sampel yang digunakan dalam penelitian adalah non-probability sampling, dengan menggunakan teknik accidental sampling. Sampel dalam penelitian ini berjumlah 213 mahasiswa (laki-laki = 117, perempuan = 96) dengan rentang usia 19-25 tahun (mean usia = 22.02, SD usia = 1.27). Penelitian ini menggunakan pendekatan Confirmatory Factor Analysis (CFA) untuk melakukan uji validitas konstruk skala PBS. Pengujian validitas konstruk skala PBS pada penelitian ini dilakukan dengan model unidimensional (satu faktor). Hasil analisis dengan pendekatan CFA menunjukkan bahwa model unidimensional PBS terbukti fit dengan data. Diperoleh nilai RMSEA sebesar 0.000 (&lt; 0.05) dan nilai p-value = 0.83306 &gt; 0.05. Artinya bahwa teori yang diajukan didukung oleh data kenyataan. Selain itu, dari 15 item  skala PBS, terdapat 14 item yang valid dan 1 item yang tidak valid. Secara umum, skala PBS dapat digunakan untuk mengukur partisipasi politik.","author":[{"dropping-particle":"","family":"Bintang","given":"Rahmat S.","non-dropping-particle":"","parse-names":false,"suffix":""},{"dropping-particle":"","family":"Mutiah","given":"Diana","non-dropping-particle":"","parse-names":false,"suffix":""},{"dropping-particle":"","family":"Rangga","given":"Fadli","non-dropping-particle":"","parse-names":false,"suffix":""}],"container-title":"Edukatif : Jurnal Ilmu Pendidikan","id":"ITEM-1","issue":"3","issued":{"date-parts":[["2024"]]},"page":"2137-2144","title":"Uji Validitas Konstruk Skala Participatory Behaviors Scale (PBS): Pendekatan dengan Confirmatory Factor Analysis ( CFA)","type":"article-journal","volume":"6"},"uris":["http://www.mendeley.com/documents/?uuid=b0da4e1a-9e55-445a-a548-dcd935160b1a"]}],"mendeley":{"formattedCitation":"(Bintang et al., 2024)","plainTextFormattedCitation":"(Bintang et al., 2024)","previouslyFormattedCitation":"(Bintang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(Bintang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validitas konstruk lebih ditentukan oleh kemampuan butir merepresentasikan konstruk yang diukur daripada jumlah butir per indikator semata. Butir P6 yang tersisa pada indikator operasional TPA memiliki Sig. = 0,000 sehingga cukup mewakili indikator tersebut. Hasil uji reliabilitas terhadap 13 butir valid menunjukkan Cronbach’s Alpha = 0,840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{"citationItems":[{"id":"ITEM-1","itemData":{"DOI":"10.31004/edukatif.v6i3.6627","ISSN":"2656-8063","abstract":"Partisipasi politik merupakan semua tindakan individu yang diarahkan untuk memengaruhi pengambilan keputusan pemerintah dan hasil politik. Salah satu skala yang digunakan untuk mengukur partisipasi politik adalah Participatory Behaviors Scale (PBS). Tujuan dari penelitian ini adalah untuk menguji validitas konstruk dari Participatory Behaviors Scale (PBS). Responden dalam penelitian ini mahasiswa UIN Syarif Hidayatullah Jakarta. Metode pengambilan sampel yang digunakan dalam penelitian adalah non-probability sampling, dengan menggunakan teknik accidental sampling. Sampel dalam penelitian ini berjumlah 213 mahasiswa (laki-laki = 117, perempuan = 96) dengan rentang usia 19-25 tahun (mean usia = 22.02, SD usia = 1.27). Penelitian ini menggunakan pendekatan Confirmatory Factor Analysis (CFA) untuk melakukan uji validitas konstruk skala PBS. Pengujian validitas konstruk skala PBS pada penelitian ini dilakukan dengan model unidimensional (satu faktor). Hasil analisis dengan pendekatan CFA menunjukkan bahwa model unidimensional PBS terbukti fit dengan data. Diperoleh nilai RMSEA sebesar 0.000 (&lt; 0.05) dan nilai p-value = 0.83306 &gt; 0.05. Artinya bahwa teori yang diajukan didukung oleh data kenyataan. Selain itu, dari 15 item  skala PBS, terdapat 14 item yang valid dan 1 item yang tidak valid. Secara umum, skala PBS dapat digunakan untuk mengukur partisipasi politik.","author":[{"dropping-particle":"","family":"Bintang","given":"Rahmat S.","non-dropping-particle":"","parse-names":false,"suffix":""},{"dropping-particle":"","family":"Mutiah","given":"Diana","non-dropping-particle":"","parse-names":false,"suffix":""},{"dropping-particle":"","family":"Rangga","given":"Fadli","non-dropping-particle":"","parse-names":false,"suffix":""}],"container-title":"Edukatif : Jurnal Ilmu Pendidikan","id":"ITEM-1","issue":"3","issued":{"date-parts":[["2024"]]},"page":"2137-2144","title":"Uji Validitas Konstruk Skala Participatory Behaviors Scale (PBS): Pendekatan dengan Confirmatory Factor Analysis ( CFA)","type":"article-journal","volume":"6"},"uris":["http://www.mendeley.com/documents/?uuid=b0da4e1a-9e55-445a-a548-dcd935160b1a"]}],"mendeley":{"formattedCitation":"(Bintang et al., 2024)","plainTextFormattedCitation":"(Bintang et al., 2024)","previouslyFormattedCitation":"(Bintang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(Bintang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yang menyatakan bahwa validitas konstruk lebih menekankan pada kemampuan indikator dalam merepresentasikan variabel yang diukur, sehingga item yang tidak memenuhi kriteria validitas dapat dieliminasi tanpa memengaruhi kelayakan instrumen penelitian secara keseluruhan.</w:t>
      </w:r>
    </w:p>
    <w:p w14:paraId="1070E085" w14:textId="77777777" w:rsidR="00CD7259" w:rsidRPr="00CD7259" w:rsidRDefault="00CD7259" w:rsidP="00CD7259">
      <w:pPr>
        <w:spacing w:before="120" w:after="0" w:line="360" w:lineRule="auto"/>
        <w:jc w:val="center"/>
        <w:rPr>
          <w:rFonts w:ascii="Times New Roman" w:eastAsia="Times New Roman" w:hAnsi="Times New Roman" w:cs="Times New Roman"/>
          <w:sz w:val="24"/>
          <w:szCs w:val="24"/>
          <w:lang w:val="en-US"/>
        </w:rPr>
      </w:pPr>
      <w:proofErr w:type="gramStart"/>
      <w:r w:rsidRPr="00CD7259">
        <w:rPr>
          <w:rFonts w:ascii="Times New Roman" w:eastAsia="Times New Roman" w:hAnsi="Times New Roman" w:cs="Times New Roman"/>
          <w:i/>
          <w:iCs/>
          <w:sz w:val="24"/>
          <w:szCs w:val="24"/>
          <w:lang w:val="en-US"/>
        </w:rPr>
        <w:t>table</w:t>
      </w:r>
      <w:proofErr w:type="gramEnd"/>
      <w:r w:rsidRPr="00CD7259">
        <w:rPr>
          <w:rFonts w:ascii="Times New Roman" w:eastAsia="Times New Roman" w:hAnsi="Times New Roman" w:cs="Times New Roman"/>
          <w:i/>
          <w:iCs/>
          <w:sz w:val="24"/>
          <w:szCs w:val="24"/>
          <w:lang w:val="en-US"/>
        </w:rPr>
        <w:t xml:space="preserve"> 2 hasil Uji realibilitas</w:t>
      </w:r>
    </w:p>
    <w:tbl>
      <w:tblPr>
        <w:tblStyle w:val="TableGrid"/>
        <w:tblW w:w="0" w:type="auto"/>
        <w:jc w:val="center"/>
        <w:tblLook w:val="04A0" w:firstRow="1" w:lastRow="0" w:firstColumn="1" w:lastColumn="0" w:noHBand="0" w:noVBand="1"/>
      </w:tblPr>
      <w:tblGrid>
        <w:gridCol w:w="2564"/>
        <w:gridCol w:w="2565"/>
        <w:gridCol w:w="2565"/>
      </w:tblGrid>
      <w:tr w:rsidR="00CD7259" w:rsidRPr="00CD7259" w14:paraId="3FC6AFFA" w14:textId="77777777" w:rsidTr="00CD7259">
        <w:trPr>
          <w:jc w:val="center"/>
        </w:trPr>
        <w:tc>
          <w:tcPr>
            <w:tcW w:w="25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61F73A"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Cronbach's Alpha</w:t>
            </w:r>
          </w:p>
        </w:tc>
        <w:tc>
          <w:tcPr>
            <w:tcW w:w="256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A564CA8"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N of Items</w:t>
            </w:r>
          </w:p>
        </w:tc>
        <w:tc>
          <w:tcPr>
            <w:tcW w:w="256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BC781AD"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Keterangan</w:t>
            </w:r>
          </w:p>
        </w:tc>
      </w:tr>
      <w:tr w:rsidR="00CD7259" w:rsidRPr="00CD7259" w14:paraId="2A65B9E7" w14:textId="77777777" w:rsidTr="00CD7259">
        <w:trPr>
          <w:jc w:val="center"/>
        </w:trPr>
        <w:tc>
          <w:tcPr>
            <w:tcW w:w="2564" w:type="dxa"/>
            <w:tcBorders>
              <w:top w:val="single" w:sz="4" w:space="0" w:color="auto"/>
              <w:left w:val="single" w:sz="4" w:space="0" w:color="auto"/>
              <w:bottom w:val="single" w:sz="4" w:space="0" w:color="auto"/>
              <w:right w:val="single" w:sz="4" w:space="0" w:color="auto"/>
            </w:tcBorders>
            <w:hideMark/>
          </w:tcPr>
          <w:p w14:paraId="4459D366"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0,840</w:t>
            </w:r>
          </w:p>
        </w:tc>
        <w:tc>
          <w:tcPr>
            <w:tcW w:w="2565" w:type="dxa"/>
            <w:tcBorders>
              <w:top w:val="single" w:sz="4" w:space="0" w:color="auto"/>
              <w:left w:val="single" w:sz="4" w:space="0" w:color="auto"/>
              <w:bottom w:val="single" w:sz="4" w:space="0" w:color="auto"/>
              <w:right w:val="single" w:sz="4" w:space="0" w:color="auto"/>
            </w:tcBorders>
            <w:hideMark/>
          </w:tcPr>
          <w:p w14:paraId="450FD821"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15</w:t>
            </w:r>
          </w:p>
        </w:tc>
        <w:tc>
          <w:tcPr>
            <w:tcW w:w="2565" w:type="dxa"/>
            <w:tcBorders>
              <w:top w:val="single" w:sz="4" w:space="0" w:color="auto"/>
              <w:left w:val="single" w:sz="4" w:space="0" w:color="auto"/>
              <w:bottom w:val="single" w:sz="4" w:space="0" w:color="auto"/>
              <w:right w:val="single" w:sz="4" w:space="0" w:color="auto"/>
            </w:tcBorders>
            <w:hideMark/>
          </w:tcPr>
          <w:p w14:paraId="0BE34F4B"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Reliabel</w:t>
            </w:r>
          </w:p>
        </w:tc>
      </w:tr>
    </w:tbl>
    <w:p w14:paraId="6EF31DC3"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Analisis Statistik Deskriptif</w:t>
      </w:r>
    </w:p>
    <w:p w14:paraId="7FC9B23B" w14:textId="77777777" w:rsid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Skor total dihitung dari 15 butir angket dengan rentang teoritis 15–60. Analisis deskriptif hanya menggunakan 13 butir valid, namun variabel total skor tetap dihitung dari 15 butir asli sehingga rentang aktual yang muncul di SPSS adalah 15–60. Tabel 2 menyajikan statistik deskriptif skor kenyamanan masyarakat pada kedua kelompok.</w:t>
      </w:r>
    </w:p>
    <w:p w14:paraId="7B1BEB70" w14:textId="77777777" w:rsidR="00301F1E" w:rsidRDefault="00301F1E" w:rsidP="00CD7259">
      <w:pPr>
        <w:spacing w:before="120" w:after="0" w:line="360" w:lineRule="auto"/>
        <w:ind w:firstLine="567"/>
        <w:jc w:val="both"/>
        <w:rPr>
          <w:rFonts w:ascii="Times New Roman" w:eastAsia="Times New Roman" w:hAnsi="Times New Roman" w:cs="Times New Roman"/>
          <w:sz w:val="24"/>
          <w:szCs w:val="24"/>
          <w:lang w:val="en-US"/>
        </w:rPr>
      </w:pPr>
    </w:p>
    <w:p w14:paraId="7924165A" w14:textId="77777777" w:rsidR="00301F1E" w:rsidRDefault="00301F1E" w:rsidP="00CD7259">
      <w:pPr>
        <w:spacing w:before="120" w:after="0" w:line="360" w:lineRule="auto"/>
        <w:ind w:firstLine="567"/>
        <w:jc w:val="both"/>
        <w:rPr>
          <w:rFonts w:ascii="Times New Roman" w:eastAsia="Times New Roman" w:hAnsi="Times New Roman" w:cs="Times New Roman"/>
          <w:sz w:val="24"/>
          <w:szCs w:val="24"/>
          <w:lang w:val="en-US"/>
        </w:rPr>
      </w:pPr>
    </w:p>
    <w:p w14:paraId="787A85D6" w14:textId="77777777" w:rsidR="00301F1E" w:rsidRDefault="00301F1E" w:rsidP="00CD7259">
      <w:pPr>
        <w:spacing w:before="120" w:after="0" w:line="360" w:lineRule="auto"/>
        <w:ind w:firstLine="567"/>
        <w:jc w:val="both"/>
        <w:rPr>
          <w:rFonts w:ascii="Times New Roman" w:eastAsia="Times New Roman" w:hAnsi="Times New Roman" w:cs="Times New Roman"/>
          <w:sz w:val="24"/>
          <w:szCs w:val="24"/>
          <w:lang w:val="en-US"/>
        </w:rPr>
      </w:pPr>
    </w:p>
    <w:p w14:paraId="0F6D486C" w14:textId="77777777" w:rsidR="00301F1E" w:rsidRPr="00CD7259" w:rsidRDefault="00301F1E" w:rsidP="00CD7259">
      <w:pPr>
        <w:spacing w:before="120" w:after="0" w:line="360" w:lineRule="auto"/>
        <w:ind w:firstLine="567"/>
        <w:jc w:val="both"/>
        <w:rPr>
          <w:rFonts w:ascii="Times New Roman" w:eastAsia="Times New Roman" w:hAnsi="Times New Roman" w:cs="Times New Roman"/>
          <w:sz w:val="24"/>
          <w:szCs w:val="24"/>
          <w:lang w:val="en-US"/>
        </w:rPr>
      </w:pPr>
    </w:p>
    <w:p w14:paraId="77C76CF4" w14:textId="77777777" w:rsidR="00CD7259" w:rsidRPr="00CD7259" w:rsidRDefault="00CD7259" w:rsidP="00CD7259">
      <w:pPr>
        <w:spacing w:before="120" w:after="0" w:line="360" w:lineRule="auto"/>
        <w:jc w:val="center"/>
        <w:rPr>
          <w:rFonts w:ascii="Times New Roman" w:eastAsia="Times New Roman" w:hAnsi="Times New Roman" w:cs="Times New Roman"/>
          <w:i/>
          <w:iCs/>
          <w:sz w:val="24"/>
          <w:szCs w:val="24"/>
          <w:lang w:val="en-US"/>
        </w:rPr>
      </w:pPr>
      <w:proofErr w:type="gramStart"/>
      <w:r w:rsidRPr="00CD7259">
        <w:rPr>
          <w:rFonts w:ascii="Times New Roman" w:eastAsia="Times New Roman" w:hAnsi="Times New Roman" w:cs="Times New Roman"/>
          <w:i/>
          <w:iCs/>
          <w:sz w:val="24"/>
          <w:szCs w:val="24"/>
          <w:lang w:val="en-US"/>
        </w:rPr>
        <w:lastRenderedPageBreak/>
        <w:t>table</w:t>
      </w:r>
      <w:proofErr w:type="gramEnd"/>
      <w:r w:rsidRPr="00CD7259">
        <w:rPr>
          <w:rFonts w:ascii="Times New Roman" w:eastAsia="Times New Roman" w:hAnsi="Times New Roman" w:cs="Times New Roman"/>
          <w:i/>
          <w:iCs/>
          <w:sz w:val="24"/>
          <w:szCs w:val="24"/>
          <w:lang w:val="en-US"/>
        </w:rPr>
        <w:t xml:space="preserve"> 3 Statistik Deskriptif Skor Kenyamanan Masyarakat</w:t>
      </w:r>
    </w:p>
    <w:tbl>
      <w:tblPr>
        <w:tblStyle w:val="TableGrid"/>
        <w:tblW w:w="7772" w:type="dxa"/>
        <w:jc w:val="center"/>
        <w:tblLook w:val="04A0" w:firstRow="1" w:lastRow="0" w:firstColumn="1" w:lastColumn="0" w:noHBand="0" w:noVBand="1"/>
      </w:tblPr>
      <w:tblGrid>
        <w:gridCol w:w="3151"/>
        <w:gridCol w:w="553"/>
        <w:gridCol w:w="763"/>
        <w:gridCol w:w="1276"/>
        <w:gridCol w:w="590"/>
        <w:gridCol w:w="690"/>
        <w:gridCol w:w="749"/>
      </w:tblGrid>
      <w:tr w:rsidR="00CD7259" w:rsidRPr="00CD7259" w14:paraId="688C80D0" w14:textId="77777777" w:rsidTr="00CD7259">
        <w:trPr>
          <w:trHeight w:val="196"/>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ABBFA8"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kelompok</w:t>
            </w:r>
          </w:p>
        </w:tc>
        <w:tc>
          <w:tcPr>
            <w:tcW w:w="5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FE462FA"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N</w:t>
            </w:r>
          </w:p>
        </w:tc>
        <w:tc>
          <w:tcPr>
            <w:tcW w:w="71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B5ED94"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Mean</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684206"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Std.deviasi</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B9B24D"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min</w:t>
            </w:r>
          </w:p>
        </w:tc>
        <w:tc>
          <w:tcPr>
            <w:tcW w:w="69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FA10CF"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max</w:t>
            </w:r>
          </w:p>
        </w:tc>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63B111"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range</w:t>
            </w:r>
          </w:p>
        </w:tc>
      </w:tr>
      <w:tr w:rsidR="00CD7259" w:rsidRPr="00CD7259" w14:paraId="6A3C2506" w14:textId="77777777" w:rsidTr="00CD7259">
        <w:trPr>
          <w:trHeight w:val="588"/>
          <w:jc w:val="center"/>
        </w:trPr>
        <w:tc>
          <w:tcPr>
            <w:tcW w:w="3256" w:type="dxa"/>
            <w:tcBorders>
              <w:top w:val="single" w:sz="4" w:space="0" w:color="auto"/>
              <w:left w:val="single" w:sz="4" w:space="0" w:color="auto"/>
              <w:bottom w:val="single" w:sz="4" w:space="0" w:color="auto"/>
              <w:right w:val="single" w:sz="4" w:space="0" w:color="auto"/>
            </w:tcBorders>
            <w:hideMark/>
          </w:tcPr>
          <w:p w14:paraId="713688C6"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Jarak dekat (0-600 m)</w:t>
            </w:r>
          </w:p>
        </w:tc>
        <w:tc>
          <w:tcPr>
            <w:tcW w:w="558" w:type="dxa"/>
            <w:tcBorders>
              <w:top w:val="single" w:sz="4" w:space="0" w:color="auto"/>
              <w:left w:val="single" w:sz="4" w:space="0" w:color="auto"/>
              <w:bottom w:val="single" w:sz="4" w:space="0" w:color="auto"/>
              <w:right w:val="single" w:sz="4" w:space="0" w:color="auto"/>
            </w:tcBorders>
            <w:hideMark/>
          </w:tcPr>
          <w:p w14:paraId="5429F7BC"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20</w:t>
            </w:r>
          </w:p>
        </w:tc>
        <w:tc>
          <w:tcPr>
            <w:tcW w:w="717" w:type="dxa"/>
            <w:tcBorders>
              <w:top w:val="single" w:sz="4" w:space="0" w:color="auto"/>
              <w:left w:val="single" w:sz="4" w:space="0" w:color="auto"/>
              <w:bottom w:val="single" w:sz="4" w:space="0" w:color="auto"/>
              <w:right w:val="single" w:sz="4" w:space="0" w:color="auto"/>
            </w:tcBorders>
            <w:hideMark/>
          </w:tcPr>
          <w:p w14:paraId="6911BF0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49,20</w:t>
            </w:r>
          </w:p>
        </w:tc>
        <w:tc>
          <w:tcPr>
            <w:tcW w:w="1276" w:type="dxa"/>
            <w:tcBorders>
              <w:top w:val="single" w:sz="4" w:space="0" w:color="auto"/>
              <w:left w:val="single" w:sz="4" w:space="0" w:color="auto"/>
              <w:bottom w:val="single" w:sz="4" w:space="0" w:color="auto"/>
              <w:right w:val="single" w:sz="4" w:space="0" w:color="auto"/>
            </w:tcBorders>
            <w:hideMark/>
          </w:tcPr>
          <w:p w14:paraId="68DAB101"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5,376</w:t>
            </w:r>
          </w:p>
        </w:tc>
        <w:tc>
          <w:tcPr>
            <w:tcW w:w="567" w:type="dxa"/>
            <w:tcBorders>
              <w:top w:val="single" w:sz="4" w:space="0" w:color="auto"/>
              <w:left w:val="single" w:sz="4" w:space="0" w:color="auto"/>
              <w:bottom w:val="single" w:sz="4" w:space="0" w:color="auto"/>
              <w:right w:val="single" w:sz="4" w:space="0" w:color="auto"/>
            </w:tcBorders>
            <w:hideMark/>
          </w:tcPr>
          <w:p w14:paraId="28C5736B"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40</w:t>
            </w:r>
          </w:p>
        </w:tc>
        <w:tc>
          <w:tcPr>
            <w:tcW w:w="693" w:type="dxa"/>
            <w:tcBorders>
              <w:top w:val="single" w:sz="4" w:space="0" w:color="auto"/>
              <w:left w:val="single" w:sz="4" w:space="0" w:color="auto"/>
              <w:bottom w:val="single" w:sz="4" w:space="0" w:color="auto"/>
              <w:right w:val="single" w:sz="4" w:space="0" w:color="auto"/>
            </w:tcBorders>
            <w:hideMark/>
          </w:tcPr>
          <w:p w14:paraId="39E9939B"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59</w:t>
            </w:r>
          </w:p>
        </w:tc>
        <w:tc>
          <w:tcPr>
            <w:tcW w:w="705" w:type="dxa"/>
            <w:tcBorders>
              <w:top w:val="single" w:sz="4" w:space="0" w:color="auto"/>
              <w:left w:val="single" w:sz="4" w:space="0" w:color="auto"/>
              <w:bottom w:val="single" w:sz="4" w:space="0" w:color="auto"/>
              <w:right w:val="single" w:sz="4" w:space="0" w:color="auto"/>
            </w:tcBorders>
            <w:hideMark/>
          </w:tcPr>
          <w:p w14:paraId="50D082F1"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19</w:t>
            </w:r>
          </w:p>
        </w:tc>
      </w:tr>
      <w:tr w:rsidR="00CD7259" w:rsidRPr="00CD7259" w14:paraId="1B7617C0" w14:textId="77777777" w:rsidTr="00CD7259">
        <w:trPr>
          <w:trHeight w:val="784"/>
          <w:jc w:val="center"/>
        </w:trPr>
        <w:tc>
          <w:tcPr>
            <w:tcW w:w="3256" w:type="dxa"/>
            <w:tcBorders>
              <w:top w:val="single" w:sz="4" w:space="0" w:color="auto"/>
              <w:left w:val="single" w:sz="4" w:space="0" w:color="auto"/>
              <w:bottom w:val="single" w:sz="4" w:space="0" w:color="auto"/>
              <w:right w:val="single" w:sz="4" w:space="0" w:color="auto"/>
            </w:tcBorders>
            <w:hideMark/>
          </w:tcPr>
          <w:p w14:paraId="20655057" w14:textId="17B3321D"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Jarak jauh (700-1000m)</w:t>
            </w:r>
          </w:p>
        </w:tc>
        <w:tc>
          <w:tcPr>
            <w:tcW w:w="558" w:type="dxa"/>
            <w:tcBorders>
              <w:top w:val="single" w:sz="4" w:space="0" w:color="auto"/>
              <w:left w:val="single" w:sz="4" w:space="0" w:color="auto"/>
              <w:bottom w:val="single" w:sz="4" w:space="0" w:color="auto"/>
              <w:right w:val="single" w:sz="4" w:space="0" w:color="auto"/>
            </w:tcBorders>
            <w:hideMark/>
          </w:tcPr>
          <w:p w14:paraId="69C7E86E"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20</w:t>
            </w:r>
          </w:p>
        </w:tc>
        <w:tc>
          <w:tcPr>
            <w:tcW w:w="717" w:type="dxa"/>
            <w:tcBorders>
              <w:top w:val="single" w:sz="4" w:space="0" w:color="auto"/>
              <w:left w:val="single" w:sz="4" w:space="0" w:color="auto"/>
              <w:bottom w:val="single" w:sz="4" w:space="0" w:color="auto"/>
              <w:right w:val="single" w:sz="4" w:space="0" w:color="auto"/>
            </w:tcBorders>
            <w:hideMark/>
          </w:tcPr>
          <w:p w14:paraId="352CA11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47,05</w:t>
            </w:r>
          </w:p>
        </w:tc>
        <w:tc>
          <w:tcPr>
            <w:tcW w:w="1276" w:type="dxa"/>
            <w:tcBorders>
              <w:top w:val="single" w:sz="4" w:space="0" w:color="auto"/>
              <w:left w:val="single" w:sz="4" w:space="0" w:color="auto"/>
              <w:bottom w:val="single" w:sz="4" w:space="0" w:color="auto"/>
              <w:right w:val="single" w:sz="4" w:space="0" w:color="auto"/>
            </w:tcBorders>
            <w:hideMark/>
          </w:tcPr>
          <w:p w14:paraId="0C2D0D75"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7,060</w:t>
            </w:r>
          </w:p>
        </w:tc>
        <w:tc>
          <w:tcPr>
            <w:tcW w:w="567" w:type="dxa"/>
            <w:tcBorders>
              <w:top w:val="single" w:sz="4" w:space="0" w:color="auto"/>
              <w:left w:val="single" w:sz="4" w:space="0" w:color="auto"/>
              <w:bottom w:val="single" w:sz="4" w:space="0" w:color="auto"/>
              <w:right w:val="single" w:sz="4" w:space="0" w:color="auto"/>
            </w:tcBorders>
            <w:hideMark/>
          </w:tcPr>
          <w:p w14:paraId="3769FF05"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34</w:t>
            </w:r>
          </w:p>
        </w:tc>
        <w:tc>
          <w:tcPr>
            <w:tcW w:w="693" w:type="dxa"/>
            <w:tcBorders>
              <w:top w:val="single" w:sz="4" w:space="0" w:color="auto"/>
              <w:left w:val="single" w:sz="4" w:space="0" w:color="auto"/>
              <w:bottom w:val="single" w:sz="4" w:space="0" w:color="auto"/>
              <w:right w:val="single" w:sz="4" w:space="0" w:color="auto"/>
            </w:tcBorders>
            <w:hideMark/>
          </w:tcPr>
          <w:p w14:paraId="78694186"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59</w:t>
            </w:r>
          </w:p>
        </w:tc>
        <w:tc>
          <w:tcPr>
            <w:tcW w:w="705" w:type="dxa"/>
            <w:tcBorders>
              <w:top w:val="single" w:sz="4" w:space="0" w:color="auto"/>
              <w:left w:val="single" w:sz="4" w:space="0" w:color="auto"/>
              <w:bottom w:val="single" w:sz="4" w:space="0" w:color="auto"/>
              <w:right w:val="single" w:sz="4" w:space="0" w:color="auto"/>
            </w:tcBorders>
            <w:hideMark/>
          </w:tcPr>
          <w:p w14:paraId="7903A24B"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25</w:t>
            </w:r>
          </w:p>
        </w:tc>
      </w:tr>
    </w:tbl>
    <w:p w14:paraId="1C79E802"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i/>
          <w:iCs/>
          <w:sz w:val="24"/>
          <w:szCs w:val="24"/>
          <w:lang w:val="en-US"/>
        </w:rPr>
        <w:t>Keterangan: SD = Standar Deviasi. Rentang skor teoritis: 15–60.</w:t>
      </w:r>
    </w:p>
    <w:p w14:paraId="0BC6649B"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Kelompok jarak dekat memperoleh rata-rata 49</w:t>
      </w:r>
      <w:proofErr w:type="gramStart"/>
      <w:r w:rsidRPr="00CD7259">
        <w:rPr>
          <w:rFonts w:ascii="Times New Roman" w:eastAsia="Times New Roman" w:hAnsi="Times New Roman" w:cs="Times New Roman"/>
          <w:sz w:val="24"/>
          <w:szCs w:val="24"/>
          <w:lang w:val="en-US"/>
        </w:rPr>
        <w:t>,20</w:t>
      </w:r>
      <w:proofErr w:type="gramEnd"/>
      <w:r w:rsidRPr="00CD7259">
        <w:rPr>
          <w:rFonts w:ascii="Times New Roman" w:eastAsia="Times New Roman" w:hAnsi="Times New Roman" w:cs="Times New Roman"/>
          <w:sz w:val="24"/>
          <w:szCs w:val="24"/>
          <w:lang w:val="en-US"/>
        </w:rPr>
        <w:t>, setara 82,0% dari skor maksimum (60), sementara kelompok jarak jauh memperoleh 47,05, setara 78,4%. Kedua angka ini berada pada kategori tinggi. Standar deviasi kelompok jarak jauh (SD = 7,060) yang lebih besar dari kelompok jarak dekat (SD = 5,376) menunjukkan persepsi kenyamanan yang lebih beragam di kelompok jauh. Nilai minimum skor kelompok jarak jauh (34) yang lebih rendah dari kelompok jarak dekat (40) mengisyaratkan ada sebagian responden di jarak 700–1.000 m yang merasakan ketidaknyamanan lebih tinggi, kemungkinan karena arah angin dominan yang membawa polutan TPA ke arah permukiman mereka (Hasanuddin &amp; Iskandar, 2025).</w:t>
      </w:r>
    </w:p>
    <w:p w14:paraId="550E338C" w14:textId="77777777" w:rsidR="00CD7259" w:rsidRPr="00CD7259" w:rsidRDefault="00CD7259" w:rsidP="00CD7259">
      <w:pPr>
        <w:spacing w:before="120" w:after="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Hasil Uji Prasyarat</w:t>
      </w:r>
    </w:p>
    <w:p w14:paraId="1CDC6644" w14:textId="77777777" w:rsidR="00CD7259" w:rsidRPr="00CD7259" w:rsidRDefault="00CD7259" w:rsidP="00CD7259">
      <w:pPr>
        <w:spacing w:before="120" w:after="0" w:line="360" w:lineRule="auto"/>
        <w:jc w:val="center"/>
        <w:rPr>
          <w:rFonts w:ascii="Times New Roman" w:eastAsia="Times New Roman" w:hAnsi="Times New Roman" w:cs="Times New Roman"/>
          <w:i/>
          <w:iCs/>
          <w:sz w:val="24"/>
          <w:szCs w:val="24"/>
          <w:lang w:val="en-US"/>
        </w:rPr>
      </w:pPr>
      <w:r w:rsidRPr="00CD7259">
        <w:rPr>
          <w:rFonts w:ascii="Times New Roman" w:eastAsia="Times New Roman" w:hAnsi="Times New Roman" w:cs="Times New Roman"/>
          <w:i/>
          <w:iCs/>
          <w:sz w:val="24"/>
          <w:szCs w:val="24"/>
          <w:lang w:val="en-US"/>
        </w:rPr>
        <w:t>Table 4 Hasil Uji Normalitas Kolmogorov-Smirnov</w:t>
      </w:r>
    </w:p>
    <w:tbl>
      <w:tblPr>
        <w:tblStyle w:val="TableGrid"/>
        <w:tblW w:w="0" w:type="auto"/>
        <w:tblLook w:val="04A0" w:firstRow="1" w:lastRow="0" w:firstColumn="1" w:lastColumn="0" w:noHBand="0" w:noVBand="1"/>
      </w:tblPr>
      <w:tblGrid>
        <w:gridCol w:w="2547"/>
        <w:gridCol w:w="1417"/>
        <w:gridCol w:w="709"/>
        <w:gridCol w:w="992"/>
        <w:gridCol w:w="843"/>
        <w:gridCol w:w="1430"/>
      </w:tblGrid>
      <w:tr w:rsidR="00CD7259" w:rsidRPr="00CD7259" w14:paraId="14722E40" w14:textId="77777777">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4C0177"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Kelompok</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E10600"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KS Statistic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B00AAF"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df</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96CFDE"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Sig.</w:t>
            </w:r>
          </w:p>
        </w:tc>
        <w:tc>
          <w:tcPr>
            <w:tcW w:w="74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B12788"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Alpha</w:t>
            </w:r>
          </w:p>
        </w:tc>
        <w:tc>
          <w:tcPr>
            <w:tcW w:w="128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464282"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Keterangan</w:t>
            </w:r>
          </w:p>
        </w:tc>
      </w:tr>
      <w:tr w:rsidR="00CD7259" w:rsidRPr="00CD7259" w14:paraId="2C57F3CC" w14:textId="77777777">
        <w:tc>
          <w:tcPr>
            <w:tcW w:w="2547" w:type="dxa"/>
            <w:tcBorders>
              <w:top w:val="single" w:sz="4" w:space="0" w:color="auto"/>
              <w:left w:val="single" w:sz="4" w:space="0" w:color="auto"/>
              <w:bottom w:val="single" w:sz="4" w:space="0" w:color="auto"/>
              <w:right w:val="single" w:sz="4" w:space="0" w:color="auto"/>
            </w:tcBorders>
            <w:hideMark/>
          </w:tcPr>
          <w:p w14:paraId="7B65097D"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Jarak Dekat (0–600 m)</w:t>
            </w:r>
          </w:p>
        </w:tc>
        <w:tc>
          <w:tcPr>
            <w:tcW w:w="1417" w:type="dxa"/>
            <w:tcBorders>
              <w:top w:val="single" w:sz="4" w:space="0" w:color="auto"/>
              <w:left w:val="single" w:sz="4" w:space="0" w:color="auto"/>
              <w:bottom w:val="single" w:sz="4" w:space="0" w:color="auto"/>
              <w:right w:val="single" w:sz="4" w:space="0" w:color="auto"/>
            </w:tcBorders>
            <w:hideMark/>
          </w:tcPr>
          <w:p w14:paraId="6E2A021C"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0,169</w:t>
            </w:r>
          </w:p>
        </w:tc>
        <w:tc>
          <w:tcPr>
            <w:tcW w:w="709" w:type="dxa"/>
            <w:tcBorders>
              <w:top w:val="single" w:sz="4" w:space="0" w:color="auto"/>
              <w:left w:val="single" w:sz="4" w:space="0" w:color="auto"/>
              <w:bottom w:val="single" w:sz="4" w:space="0" w:color="auto"/>
              <w:right w:val="single" w:sz="4" w:space="0" w:color="auto"/>
            </w:tcBorders>
            <w:hideMark/>
          </w:tcPr>
          <w:p w14:paraId="5C9FD632"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20</w:t>
            </w:r>
          </w:p>
        </w:tc>
        <w:tc>
          <w:tcPr>
            <w:tcW w:w="992" w:type="dxa"/>
            <w:tcBorders>
              <w:top w:val="single" w:sz="4" w:space="0" w:color="auto"/>
              <w:left w:val="single" w:sz="4" w:space="0" w:color="auto"/>
              <w:bottom w:val="single" w:sz="4" w:space="0" w:color="auto"/>
              <w:right w:val="single" w:sz="4" w:space="0" w:color="auto"/>
            </w:tcBorders>
            <w:hideMark/>
          </w:tcPr>
          <w:p w14:paraId="7AE916E6"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0,137</w:t>
            </w:r>
          </w:p>
        </w:tc>
        <w:tc>
          <w:tcPr>
            <w:tcW w:w="746" w:type="dxa"/>
            <w:tcBorders>
              <w:top w:val="single" w:sz="4" w:space="0" w:color="auto"/>
              <w:left w:val="single" w:sz="4" w:space="0" w:color="auto"/>
              <w:bottom w:val="single" w:sz="4" w:space="0" w:color="auto"/>
              <w:right w:val="single" w:sz="4" w:space="0" w:color="auto"/>
            </w:tcBorders>
            <w:hideMark/>
          </w:tcPr>
          <w:p w14:paraId="5B20747B"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283" w:type="dxa"/>
            <w:tcBorders>
              <w:top w:val="single" w:sz="4" w:space="0" w:color="auto"/>
              <w:left w:val="single" w:sz="4" w:space="0" w:color="auto"/>
              <w:bottom w:val="single" w:sz="4" w:space="0" w:color="auto"/>
              <w:right w:val="single" w:sz="4" w:space="0" w:color="auto"/>
            </w:tcBorders>
            <w:hideMark/>
          </w:tcPr>
          <w:p w14:paraId="07218780"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Normal</w:t>
            </w:r>
          </w:p>
        </w:tc>
      </w:tr>
      <w:tr w:rsidR="00CD7259" w:rsidRPr="00CD7259" w14:paraId="58268C1E" w14:textId="77777777">
        <w:tc>
          <w:tcPr>
            <w:tcW w:w="2547" w:type="dxa"/>
            <w:tcBorders>
              <w:top w:val="single" w:sz="4" w:space="0" w:color="auto"/>
              <w:left w:val="single" w:sz="4" w:space="0" w:color="auto"/>
              <w:bottom w:val="single" w:sz="4" w:space="0" w:color="auto"/>
              <w:right w:val="single" w:sz="4" w:space="0" w:color="auto"/>
            </w:tcBorders>
            <w:hideMark/>
          </w:tcPr>
          <w:p w14:paraId="453098B9"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Jarak Jauh (700–1.000 m)</w:t>
            </w:r>
          </w:p>
        </w:tc>
        <w:tc>
          <w:tcPr>
            <w:tcW w:w="1417" w:type="dxa"/>
            <w:tcBorders>
              <w:top w:val="single" w:sz="4" w:space="0" w:color="auto"/>
              <w:left w:val="single" w:sz="4" w:space="0" w:color="auto"/>
              <w:bottom w:val="single" w:sz="4" w:space="0" w:color="auto"/>
              <w:right w:val="single" w:sz="4" w:space="0" w:color="auto"/>
            </w:tcBorders>
            <w:hideMark/>
          </w:tcPr>
          <w:p w14:paraId="745FD336"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0,162</w:t>
            </w:r>
          </w:p>
        </w:tc>
        <w:tc>
          <w:tcPr>
            <w:tcW w:w="709" w:type="dxa"/>
            <w:tcBorders>
              <w:top w:val="single" w:sz="4" w:space="0" w:color="auto"/>
              <w:left w:val="single" w:sz="4" w:space="0" w:color="auto"/>
              <w:bottom w:val="single" w:sz="4" w:space="0" w:color="auto"/>
              <w:right w:val="single" w:sz="4" w:space="0" w:color="auto"/>
            </w:tcBorders>
            <w:hideMark/>
          </w:tcPr>
          <w:p w14:paraId="1B36AEF0"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20</w:t>
            </w:r>
          </w:p>
        </w:tc>
        <w:tc>
          <w:tcPr>
            <w:tcW w:w="992" w:type="dxa"/>
            <w:tcBorders>
              <w:top w:val="single" w:sz="4" w:space="0" w:color="auto"/>
              <w:left w:val="single" w:sz="4" w:space="0" w:color="auto"/>
              <w:bottom w:val="single" w:sz="4" w:space="0" w:color="auto"/>
              <w:right w:val="single" w:sz="4" w:space="0" w:color="auto"/>
            </w:tcBorders>
            <w:hideMark/>
          </w:tcPr>
          <w:p w14:paraId="1BE1EB75"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0,178</w:t>
            </w:r>
          </w:p>
        </w:tc>
        <w:tc>
          <w:tcPr>
            <w:tcW w:w="746" w:type="dxa"/>
            <w:tcBorders>
              <w:top w:val="single" w:sz="4" w:space="0" w:color="auto"/>
              <w:left w:val="single" w:sz="4" w:space="0" w:color="auto"/>
              <w:bottom w:val="single" w:sz="4" w:space="0" w:color="auto"/>
              <w:right w:val="single" w:sz="4" w:space="0" w:color="auto"/>
            </w:tcBorders>
            <w:hideMark/>
          </w:tcPr>
          <w:p w14:paraId="451298CF"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0,05</w:t>
            </w:r>
          </w:p>
        </w:tc>
        <w:tc>
          <w:tcPr>
            <w:tcW w:w="1283" w:type="dxa"/>
            <w:tcBorders>
              <w:top w:val="single" w:sz="4" w:space="0" w:color="auto"/>
              <w:left w:val="single" w:sz="4" w:space="0" w:color="auto"/>
              <w:bottom w:val="single" w:sz="4" w:space="0" w:color="auto"/>
              <w:right w:val="single" w:sz="4" w:space="0" w:color="auto"/>
            </w:tcBorders>
            <w:hideMark/>
          </w:tcPr>
          <w:p w14:paraId="757D049A" w14:textId="77777777" w:rsidR="00CD7259" w:rsidRPr="00CD7259" w:rsidRDefault="00CD7259" w:rsidP="00CD7259">
            <w:pPr>
              <w:spacing w:before="120" w:line="360" w:lineRule="auto"/>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Normal</w:t>
            </w:r>
          </w:p>
        </w:tc>
      </w:tr>
    </w:tbl>
    <w:p w14:paraId="25876CEB" w14:textId="77777777" w:rsidR="00CD7259" w:rsidRPr="00CD7259" w:rsidRDefault="00CD7259" w:rsidP="00CD7259">
      <w:pPr>
        <w:spacing w:before="120" w:after="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i/>
          <w:iCs/>
          <w:sz w:val="24"/>
          <w:szCs w:val="24"/>
          <w:lang w:val="en-US"/>
        </w:rPr>
        <w:t>Table 5 Hasil Uji Homogenitas Levene’s Test</w:t>
      </w:r>
    </w:p>
    <w:tbl>
      <w:tblPr>
        <w:tblStyle w:val="TableGrid"/>
        <w:tblW w:w="0" w:type="auto"/>
        <w:jc w:val="center"/>
        <w:tblLook w:val="04A0" w:firstRow="1" w:lastRow="0" w:firstColumn="1" w:lastColumn="0" w:noHBand="0" w:noVBand="1"/>
      </w:tblPr>
      <w:tblGrid>
        <w:gridCol w:w="2564"/>
        <w:gridCol w:w="2565"/>
        <w:gridCol w:w="2565"/>
      </w:tblGrid>
      <w:tr w:rsidR="00CD7259" w:rsidRPr="00CD7259" w14:paraId="153EFC25" w14:textId="77777777" w:rsidTr="00CD7259">
        <w:trPr>
          <w:jc w:val="center"/>
        </w:trPr>
        <w:tc>
          <w:tcPr>
            <w:tcW w:w="25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6A2F16"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Levene statistic(F)</w:t>
            </w:r>
          </w:p>
        </w:tc>
        <w:tc>
          <w:tcPr>
            <w:tcW w:w="256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9D5648"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Sig.</w:t>
            </w:r>
          </w:p>
        </w:tc>
        <w:tc>
          <w:tcPr>
            <w:tcW w:w="256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203C23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Keterangan</w:t>
            </w:r>
          </w:p>
        </w:tc>
      </w:tr>
      <w:tr w:rsidR="00CD7259" w:rsidRPr="00CD7259" w14:paraId="3C774227" w14:textId="77777777" w:rsidTr="00CD7259">
        <w:trPr>
          <w:jc w:val="center"/>
        </w:trPr>
        <w:tc>
          <w:tcPr>
            <w:tcW w:w="2564" w:type="dxa"/>
            <w:tcBorders>
              <w:top w:val="single" w:sz="4" w:space="0" w:color="auto"/>
              <w:left w:val="single" w:sz="4" w:space="0" w:color="auto"/>
              <w:bottom w:val="single" w:sz="4" w:space="0" w:color="auto"/>
              <w:right w:val="single" w:sz="4" w:space="0" w:color="auto"/>
            </w:tcBorders>
            <w:hideMark/>
          </w:tcPr>
          <w:p w14:paraId="2C5BDF9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3,552</w:t>
            </w:r>
          </w:p>
        </w:tc>
        <w:tc>
          <w:tcPr>
            <w:tcW w:w="2565" w:type="dxa"/>
            <w:tcBorders>
              <w:top w:val="single" w:sz="4" w:space="0" w:color="auto"/>
              <w:left w:val="single" w:sz="4" w:space="0" w:color="auto"/>
              <w:bottom w:val="single" w:sz="4" w:space="0" w:color="auto"/>
              <w:right w:val="single" w:sz="4" w:space="0" w:color="auto"/>
            </w:tcBorders>
            <w:hideMark/>
          </w:tcPr>
          <w:p w14:paraId="5B9DC75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0,067</w:t>
            </w:r>
          </w:p>
        </w:tc>
        <w:tc>
          <w:tcPr>
            <w:tcW w:w="2565" w:type="dxa"/>
            <w:tcBorders>
              <w:top w:val="single" w:sz="4" w:space="0" w:color="auto"/>
              <w:left w:val="single" w:sz="4" w:space="0" w:color="auto"/>
              <w:bottom w:val="single" w:sz="4" w:space="0" w:color="auto"/>
              <w:right w:val="single" w:sz="4" w:space="0" w:color="auto"/>
            </w:tcBorders>
            <w:hideMark/>
          </w:tcPr>
          <w:p w14:paraId="4EF58835"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Homogenitas</w:t>
            </w:r>
          </w:p>
        </w:tc>
      </w:tr>
    </w:tbl>
    <w:p w14:paraId="4631B765"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Kedua kelompok memenuhi asumsi normalitas (Sig. &gt; 0</w:t>
      </w:r>
      <w:proofErr w:type="gramStart"/>
      <w:r w:rsidRPr="00CD7259">
        <w:rPr>
          <w:rFonts w:ascii="Times New Roman" w:eastAsia="Times New Roman" w:hAnsi="Times New Roman" w:cs="Times New Roman"/>
          <w:sz w:val="24"/>
          <w:szCs w:val="24"/>
          <w:lang w:val="en-US"/>
        </w:rPr>
        <w:t>,05</w:t>
      </w:r>
      <w:proofErr w:type="gramEnd"/>
      <w:r w:rsidRPr="00CD7259">
        <w:rPr>
          <w:rFonts w:ascii="Times New Roman" w:eastAsia="Times New Roman" w:hAnsi="Times New Roman" w:cs="Times New Roman"/>
          <w:sz w:val="24"/>
          <w:szCs w:val="24"/>
          <w:lang w:val="en-US"/>
        </w:rPr>
        <w:t>) dan varians antarkelompok dinyatakan homogen (Sig. = 0,067 &gt; 0,05). Dengan terpenuhinya kedua asumsi statistik parametrik ini, pengujian hipotesis menggunakan Independent Sample t-Test dapat dilangsungkan.</w:t>
      </w:r>
    </w:p>
    <w:p w14:paraId="7C5586BD" w14:textId="77777777" w:rsidR="00CD7259" w:rsidRPr="00CD7259" w:rsidRDefault="00CD7259" w:rsidP="00CD7259">
      <w:pPr>
        <w:spacing w:before="120" w:after="0" w:line="360" w:lineRule="auto"/>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lastRenderedPageBreak/>
        <w:t>Hasil Uji Hipotesis</w:t>
      </w:r>
    </w:p>
    <w:p w14:paraId="781EF3D2" w14:textId="77777777" w:rsidR="00CD7259" w:rsidRPr="00CD7259" w:rsidRDefault="00CD7259" w:rsidP="00CD7259">
      <w:pPr>
        <w:spacing w:before="120" w:after="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i/>
          <w:iCs/>
          <w:sz w:val="24"/>
          <w:szCs w:val="24"/>
          <w:lang w:val="en-US"/>
        </w:rPr>
        <w:t>Table 6 Hasil Uji Independent Sample t-Test</w:t>
      </w:r>
    </w:p>
    <w:tbl>
      <w:tblPr>
        <w:tblStyle w:val="TableGrid"/>
        <w:tblW w:w="0" w:type="auto"/>
        <w:tblLook w:val="04A0" w:firstRow="1" w:lastRow="0" w:firstColumn="1" w:lastColumn="0" w:noHBand="0" w:noVBand="1"/>
      </w:tblPr>
      <w:tblGrid>
        <w:gridCol w:w="3114"/>
        <w:gridCol w:w="709"/>
        <w:gridCol w:w="803"/>
        <w:gridCol w:w="993"/>
        <w:gridCol w:w="887"/>
        <w:gridCol w:w="1430"/>
      </w:tblGrid>
      <w:tr w:rsidR="00CD7259" w:rsidRPr="00CD7259" w14:paraId="5812ECF9" w14:textId="77777777">
        <w:tc>
          <w:tcPr>
            <w:tcW w:w="311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7CC68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Kelompok</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BD94A5E"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n</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A06AE66"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Mean</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D5D4603"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t hitung</w:t>
            </w:r>
          </w:p>
        </w:tc>
        <w:tc>
          <w:tcPr>
            <w:tcW w:w="88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53BB74"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Sig. (2-tailed)</w:t>
            </w:r>
          </w:p>
        </w:tc>
        <w:tc>
          <w:tcPr>
            <w:tcW w:w="128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D4B2D3A"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b/>
                <w:sz w:val="24"/>
                <w:szCs w:val="24"/>
                <w:lang w:val="en-US"/>
              </w:rPr>
              <w:t>Keterangan</w:t>
            </w:r>
          </w:p>
        </w:tc>
      </w:tr>
      <w:tr w:rsidR="00CD7259" w:rsidRPr="00CD7259" w14:paraId="27BA8237" w14:textId="77777777">
        <w:tc>
          <w:tcPr>
            <w:tcW w:w="3114" w:type="dxa"/>
            <w:tcBorders>
              <w:top w:val="single" w:sz="4" w:space="0" w:color="auto"/>
              <w:left w:val="single" w:sz="4" w:space="0" w:color="auto"/>
              <w:bottom w:val="single" w:sz="4" w:space="0" w:color="auto"/>
              <w:right w:val="single" w:sz="4" w:space="0" w:color="auto"/>
            </w:tcBorders>
            <w:hideMark/>
          </w:tcPr>
          <w:p w14:paraId="691A03AA"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Jarak Dekat (0–600 m)</w:t>
            </w:r>
          </w:p>
        </w:tc>
        <w:tc>
          <w:tcPr>
            <w:tcW w:w="709" w:type="dxa"/>
            <w:tcBorders>
              <w:top w:val="single" w:sz="4" w:space="0" w:color="auto"/>
              <w:left w:val="single" w:sz="4" w:space="0" w:color="auto"/>
              <w:bottom w:val="single" w:sz="4" w:space="0" w:color="auto"/>
              <w:right w:val="single" w:sz="4" w:space="0" w:color="auto"/>
            </w:tcBorders>
            <w:hideMark/>
          </w:tcPr>
          <w:p w14:paraId="260B9096"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20</w:t>
            </w:r>
          </w:p>
        </w:tc>
        <w:tc>
          <w:tcPr>
            <w:tcW w:w="708" w:type="dxa"/>
            <w:tcBorders>
              <w:top w:val="single" w:sz="4" w:space="0" w:color="auto"/>
              <w:left w:val="single" w:sz="4" w:space="0" w:color="auto"/>
              <w:bottom w:val="single" w:sz="4" w:space="0" w:color="auto"/>
              <w:right w:val="single" w:sz="4" w:space="0" w:color="auto"/>
            </w:tcBorders>
            <w:hideMark/>
          </w:tcPr>
          <w:p w14:paraId="24B69FB0"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49,20</w:t>
            </w:r>
          </w:p>
        </w:tc>
        <w:tc>
          <w:tcPr>
            <w:tcW w:w="993" w:type="dxa"/>
            <w:tcBorders>
              <w:top w:val="single" w:sz="4" w:space="0" w:color="auto"/>
              <w:left w:val="single" w:sz="4" w:space="0" w:color="auto"/>
              <w:bottom w:val="single" w:sz="4" w:space="0" w:color="auto"/>
              <w:right w:val="single" w:sz="4" w:space="0" w:color="auto"/>
            </w:tcBorders>
            <w:hideMark/>
          </w:tcPr>
          <w:p w14:paraId="0D18EA93"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1,084</w:t>
            </w:r>
          </w:p>
        </w:tc>
        <w:tc>
          <w:tcPr>
            <w:tcW w:w="887" w:type="dxa"/>
            <w:tcBorders>
              <w:top w:val="single" w:sz="4" w:space="0" w:color="auto"/>
              <w:left w:val="single" w:sz="4" w:space="0" w:color="auto"/>
              <w:bottom w:val="single" w:sz="4" w:space="0" w:color="auto"/>
              <w:right w:val="single" w:sz="4" w:space="0" w:color="auto"/>
            </w:tcBorders>
            <w:hideMark/>
          </w:tcPr>
          <w:p w14:paraId="0FEBAF65"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0,285</w:t>
            </w:r>
          </w:p>
        </w:tc>
        <w:tc>
          <w:tcPr>
            <w:tcW w:w="1283" w:type="dxa"/>
            <w:tcBorders>
              <w:top w:val="single" w:sz="4" w:space="0" w:color="auto"/>
              <w:left w:val="single" w:sz="4" w:space="0" w:color="auto"/>
              <w:bottom w:val="single" w:sz="4" w:space="0" w:color="auto"/>
              <w:right w:val="single" w:sz="4" w:space="0" w:color="auto"/>
            </w:tcBorders>
            <w:hideMark/>
          </w:tcPr>
          <w:p w14:paraId="5FB46CB0"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H₀ Diterima</w:t>
            </w:r>
          </w:p>
        </w:tc>
      </w:tr>
      <w:tr w:rsidR="00CD7259" w:rsidRPr="00CD7259" w14:paraId="1BD70160" w14:textId="77777777">
        <w:tc>
          <w:tcPr>
            <w:tcW w:w="3114" w:type="dxa"/>
            <w:tcBorders>
              <w:top w:val="single" w:sz="4" w:space="0" w:color="auto"/>
              <w:left w:val="single" w:sz="4" w:space="0" w:color="auto"/>
              <w:bottom w:val="single" w:sz="4" w:space="0" w:color="auto"/>
              <w:right w:val="single" w:sz="4" w:space="0" w:color="auto"/>
            </w:tcBorders>
            <w:hideMark/>
          </w:tcPr>
          <w:p w14:paraId="39224F7F"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Jarak Jauh (700–1.000 m)</w:t>
            </w:r>
          </w:p>
        </w:tc>
        <w:tc>
          <w:tcPr>
            <w:tcW w:w="709" w:type="dxa"/>
            <w:tcBorders>
              <w:top w:val="single" w:sz="4" w:space="0" w:color="auto"/>
              <w:left w:val="single" w:sz="4" w:space="0" w:color="auto"/>
              <w:bottom w:val="single" w:sz="4" w:space="0" w:color="auto"/>
              <w:right w:val="single" w:sz="4" w:space="0" w:color="auto"/>
            </w:tcBorders>
            <w:hideMark/>
          </w:tcPr>
          <w:p w14:paraId="74509AF8"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20</w:t>
            </w:r>
          </w:p>
        </w:tc>
        <w:tc>
          <w:tcPr>
            <w:tcW w:w="708" w:type="dxa"/>
            <w:tcBorders>
              <w:top w:val="single" w:sz="4" w:space="0" w:color="auto"/>
              <w:left w:val="single" w:sz="4" w:space="0" w:color="auto"/>
              <w:bottom w:val="single" w:sz="4" w:space="0" w:color="auto"/>
              <w:right w:val="single" w:sz="4" w:space="0" w:color="auto"/>
            </w:tcBorders>
            <w:hideMark/>
          </w:tcPr>
          <w:p w14:paraId="53560225"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47,05</w:t>
            </w:r>
          </w:p>
        </w:tc>
        <w:tc>
          <w:tcPr>
            <w:tcW w:w="993" w:type="dxa"/>
            <w:tcBorders>
              <w:top w:val="single" w:sz="4" w:space="0" w:color="auto"/>
              <w:left w:val="single" w:sz="4" w:space="0" w:color="auto"/>
              <w:bottom w:val="single" w:sz="4" w:space="0" w:color="auto"/>
              <w:right w:val="single" w:sz="4" w:space="0" w:color="auto"/>
            </w:tcBorders>
          </w:tcPr>
          <w:p w14:paraId="259D2E91"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p>
        </w:tc>
        <w:tc>
          <w:tcPr>
            <w:tcW w:w="887" w:type="dxa"/>
            <w:tcBorders>
              <w:top w:val="single" w:sz="4" w:space="0" w:color="auto"/>
              <w:left w:val="single" w:sz="4" w:space="0" w:color="auto"/>
              <w:bottom w:val="single" w:sz="4" w:space="0" w:color="auto"/>
              <w:right w:val="single" w:sz="4" w:space="0" w:color="auto"/>
            </w:tcBorders>
          </w:tcPr>
          <w:p w14:paraId="1A104473"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p>
        </w:tc>
        <w:tc>
          <w:tcPr>
            <w:tcW w:w="1283" w:type="dxa"/>
            <w:tcBorders>
              <w:top w:val="single" w:sz="4" w:space="0" w:color="auto"/>
              <w:left w:val="single" w:sz="4" w:space="0" w:color="auto"/>
              <w:bottom w:val="single" w:sz="4" w:space="0" w:color="auto"/>
              <w:right w:val="single" w:sz="4" w:space="0" w:color="auto"/>
            </w:tcBorders>
          </w:tcPr>
          <w:p w14:paraId="7D1EA619" w14:textId="77777777" w:rsidR="00CD7259" w:rsidRPr="00CD7259" w:rsidRDefault="00CD7259" w:rsidP="00CD7259">
            <w:pPr>
              <w:spacing w:before="120" w:line="360" w:lineRule="auto"/>
              <w:jc w:val="center"/>
              <w:rPr>
                <w:rFonts w:ascii="Times New Roman" w:eastAsia="Times New Roman" w:hAnsi="Times New Roman" w:cs="Times New Roman"/>
                <w:sz w:val="24"/>
                <w:szCs w:val="24"/>
                <w:lang w:val="en-US"/>
              </w:rPr>
            </w:pPr>
          </w:p>
        </w:tc>
      </w:tr>
    </w:tbl>
    <w:p w14:paraId="225C6FC2" w14:textId="77777777" w:rsidR="00CD7259" w:rsidRPr="00CD7259" w:rsidRDefault="00CD7259" w:rsidP="00CD7259">
      <w:pPr>
        <w:spacing w:before="120" w:after="0" w:line="360" w:lineRule="auto"/>
        <w:jc w:val="center"/>
        <w:rPr>
          <w:rFonts w:ascii="Times New Roman" w:eastAsia="Times New Roman" w:hAnsi="Times New Roman" w:cs="Times New Roman"/>
          <w:sz w:val="24"/>
          <w:szCs w:val="24"/>
          <w:lang w:val="en-US"/>
        </w:rPr>
      </w:pPr>
      <w:r w:rsidRPr="00CD7259">
        <w:rPr>
          <w:rFonts w:ascii="Times New Roman" w:eastAsia="Times New Roman" w:hAnsi="Times New Roman" w:cs="Times New Roman"/>
          <w:i/>
          <w:iCs/>
          <w:sz w:val="24"/>
          <w:szCs w:val="24"/>
          <w:lang w:val="en-US"/>
        </w:rPr>
        <w:t>Keterangan: Equal variances assumed; Mean Difference = +2,150; df = 38; α = 0</w:t>
      </w:r>
      <w:proofErr w:type="gramStart"/>
      <w:r w:rsidRPr="00CD7259">
        <w:rPr>
          <w:rFonts w:ascii="Times New Roman" w:eastAsia="Times New Roman" w:hAnsi="Times New Roman" w:cs="Times New Roman"/>
          <w:i/>
          <w:iCs/>
          <w:sz w:val="24"/>
          <w:szCs w:val="24"/>
          <w:lang w:val="en-US"/>
        </w:rPr>
        <w:t>,05</w:t>
      </w:r>
      <w:proofErr w:type="gramEnd"/>
    </w:p>
    <w:p w14:paraId="4F381B93"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Nilai Sig. (2-tailed) = 0,285 &gt; 0</w:t>
      </w:r>
      <w:proofErr w:type="gramStart"/>
      <w:r w:rsidRPr="00CD7259">
        <w:rPr>
          <w:rFonts w:ascii="Times New Roman" w:eastAsia="Times New Roman" w:hAnsi="Times New Roman" w:cs="Times New Roman"/>
          <w:sz w:val="24"/>
          <w:szCs w:val="24"/>
          <w:lang w:val="en-US"/>
        </w:rPr>
        <w:t>,05</w:t>
      </w:r>
      <w:proofErr w:type="gramEnd"/>
      <w:r w:rsidRPr="00CD7259">
        <w:rPr>
          <w:rFonts w:ascii="Times New Roman" w:eastAsia="Times New Roman" w:hAnsi="Times New Roman" w:cs="Times New Roman"/>
          <w:sz w:val="24"/>
          <w:szCs w:val="24"/>
          <w:lang w:val="en-US"/>
        </w:rPr>
        <w:t>, sehingga H₀ diterima dan H₁ ditolak. Tidak terdapat perbedaan yang signifikan secara statistik antara tingkat kenyamanan masyarakat pada jarak dekat (0–600 m) dan jarak jauh (700–1.000 m) dari TPA Terjun Marelan.</w:t>
      </w:r>
    </w:p>
    <w:p w14:paraId="3686B5C9"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Pembahasan</w:t>
      </w:r>
    </w:p>
    <w:p w14:paraId="68F8C29F"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Hasil penelitian menunjukkan bahwa meskipun terdapat perbedaan rata-rata skor antara kedua kelompok, perbedaan tersebut tidak signifikan secara statistik. Hal ini menunjukkan bahwa tingkat kenyamanan masyarakat tidak hanya dipengaruhi oleh faktor jarak, tetapi juga oleh berbagai faktor lain yang saling berinteraksi.</w:t>
      </w:r>
    </w:p>
    <w:p w14:paraId="2A4F4F77"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Dari perspektif psikologi lingkungan, kondisi ini dapat dijelaskan melalui konsep habituasi, yaitu proses penyesuaian individu terhadap stimulus lingkungan yang berlangsung terus-menerus. Masyarakat yang telah lama tinggal di sekitar TPA cenderung lebih terbiasa dengan bau, kebisingan, dan kondisi lingkungan yang kurang nyaman, sehingga persepsinya menjadi lebih toleran.</w:t>
      </w:r>
    </w:p>
    <w:p w14:paraId="3FA84BD1"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Selain itu, faktor ekonomi juga dapat memengaruhi persepsi kenyamanan. Sebagian masyarakat yang tinggal di sekitar TPA memperoleh manfaat ekonomi langsung seperti pekerjaan sebagai pemulung atau aktivitas informal lainnya, sehingga keberadaan TPA tidak sepenuhnya dipersepsikan sebagai gangguan.</w:t>
      </w:r>
    </w:p>
    <w:p w14:paraId="3671649F"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Faktor lingkungan seperti arah angin dan kondisi geografis juga dapat menyebabkan distribusi dampak TPA tidak merata. Akibatnya, masyarakat yang berada lebih jauh dapat mengalami dampak yang hampir </w:t>
      </w:r>
      <w:proofErr w:type="gramStart"/>
      <w:r w:rsidRPr="00CD7259">
        <w:rPr>
          <w:rFonts w:ascii="Times New Roman" w:eastAsia="Times New Roman" w:hAnsi="Times New Roman" w:cs="Times New Roman"/>
          <w:sz w:val="24"/>
          <w:szCs w:val="24"/>
          <w:lang w:val="en-US"/>
        </w:rPr>
        <w:t>sama</w:t>
      </w:r>
      <w:proofErr w:type="gramEnd"/>
      <w:r w:rsidRPr="00CD7259">
        <w:rPr>
          <w:rFonts w:ascii="Times New Roman" w:eastAsia="Times New Roman" w:hAnsi="Times New Roman" w:cs="Times New Roman"/>
          <w:sz w:val="24"/>
          <w:szCs w:val="24"/>
          <w:lang w:val="en-US"/>
        </w:rPr>
        <w:t xml:space="preserve"> dengan masyarakat yang lebih dekat.</w:t>
      </w:r>
    </w:p>
    <w:p w14:paraId="372DFD7B"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lastRenderedPageBreak/>
        <w:t>Perbandingan dengan Penelitian Terdahulu</w:t>
      </w:r>
    </w:p>
    <w:p w14:paraId="7A6229BA"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Hasil penelitian ini sejalan dengan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{"citationItems":[{"id":"ITEM-1","itemData":{"author":[{"dropping-particle":"","family":"Rampun","given":"Gina Julyesta","non-dropping-particle":"","parse-names":false,"suffix":""},{"dropping-particle":"","family":"Ramadhan","given":"M Rafli","non-dropping-particle":"","parse-names":false,"suffix":""},{"dropping-particle":"","family":"Suhaeb","given":"Firdaus W","non-dropping-particle":"","parse-names":false,"suffix":""}],"container-title":"Jurnal Pendidikan Multidisipliner","id":"ITEM-1","issue":"April","issued":{"date-parts":[["2025"]]},"page":"73-82","title":"Jurnal Pendidikan Multidisipliner PENGARUH PENCEMARAN UDARA DI LINGKUNGAN TPA ANTANG TERHADAP GANGGUAN SALURAN PERNAPASAN (LITERATURE REVIEW)","type":"article-journal","volume":"8"},"uris":["http://www.mendeley.com/documents/?uuid=4a56c9e1-accf-40b6-bcf6-3b0ebd228a60"]}],"mendeley":{"formattedCitation":"(Rampun et al., 2025)","plainTextFormattedCitation":"(Rampun et al., 2025)","previouslyFormattedCitation":"(Rampun et al., 2025)"},"properties":{"noteIndex":0},"schema":"https://github.com/citation-style-language/schema/raw/master/csl-citation.json"}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(Rampun et al., 2025)</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 xml:space="preserve"> Yang menyatakan bahwa dampak TPA tidak hanya dipengaruhi oleh jarak, tetapi juga oleh faktor lingkungan lain seperti kondisi udara dan paparan polutan.</w:t>
      </w:r>
    </w:p>
    <w:p w14:paraId="22E7C0CE"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 xml:space="preserve">Namun, hasil ini berbeda dengan penelitian </w:t>
      </w:r>
      <w:r w:rsidRPr="00CD7259">
        <w:rPr>
          <w:rFonts w:ascii="Times New Roman" w:eastAsia="Times New Roman" w:hAnsi="Times New Roman" w:cs="Times New Roman"/>
          <w:sz w:val="24"/>
          <w:szCs w:val="24"/>
          <w:lang w:val="en-US"/>
        </w:rPr>
        <w:fldChar w:fldCharType="begin" w:fldLock="1"/>
      </w:r>
      <w:r w:rsidRPr="00CD7259">
        <w:rPr>
          <w:rFonts w:ascii="Times New Roman" w:eastAsia="Times New Roman" w:hAnsi="Times New Roman" w:cs="Times New Roman"/>
          <w:sz w:val="24"/>
          <w:szCs w:val="24"/>
          <w:lang w:val="en-US"/>
        </w:rPr>
        <w:instrText>ADDIN CSL_CITATION {"citationItems":[{"id":"ITEM-1","itemData":{"DOI":"10.55100/administrator.v6i2.92","ISSN":"1858-084X","abstract":"Tempat Pembuangan Akhir (TPA) di Kelurahan Kawa Tuna berfungsi sebagai solusi pengelolaan sampah, namun operasionalnya seringkali menimbulkan dampak negatif terhadap lingkungan, terutama pencemaran udara yang berupa bau busuk. Penelitian ini bertujuan untuk menganalisis dampak pencemaran udara dan lingkungan yang dihasilkan dari aktivitas di TPA serta efeknya terhadap kesehatan masyarakat. Metode penelitian yang digunakan adalah analisis kualitatif dengan survei persepsi masyarakat. Hasil penelitian menunjukkan bahwa bau busuk yang dihasilkan dari TPA dapat mengganggu kenyamanan dan kesehatan masyarakat sekitar. Penelitian ini menegaskan perlunya pengelolaan TPA yang lebih baik dan penerapan teknologi ramah lingkungan untuk meminimalkan dampak negatif terhadap kesehatan masyarakat dan lingkungan.","author":[{"dropping-particle":"","family":"Aura","given":"Audietya Chantieka","non-dropping-particle":"","parse-names":false,"suffix":""},{"dropping-particle":"","family":"Adriansa","given":"Muhammad Wandi","non-dropping-particle":"","parse-names":false,"suffix":""},{"dropping-particle":"","family":"Tala’a","given":"Nadia I","non-dropping-particle":"","parse-names":false,"suffix":""},{"dropping-particle":"","family":"Bakri","given":"Nuraini","non-dropping-particle":"","parse-names":false,"suffix":""},{"dropping-particle":"","family":"Mustainah","given":"Mustainah","non-dropping-particle":"","parse-names":false,"suffix":""},{"dropping-particle":"","family":"Kurnia","given":"Intam","non-dropping-particle":"","parse-names":false,"suffix":""},{"dropping-particle":"","family":"Haryono","given":"Dandan","non-dropping-particle":"","parse-names":false,"suffix":""}],"container-title":"Jurnal ADMINISTRATOR","id":"ITEM-1","issue":"2","issued":{"date-parts":[["2024"]]},"page":"134-139","title":"Analisis Dampak Pencemaran Udara Akibat Oprasional Tempat Pembuangan Akhir Sampah Di Kelurahan Kawatuna","type":"article-journal","volume":"6"},"uris":["http://www.mendeley.com/documents/?uuid=13df14b4-b5e2-4e60-bc1d-5cddbe16f7cc"]}],"mendeley":{"formattedCitation":"(Aura et al., 2024)","plainTextFormattedCitation":"(Aura et al., 2024)","previouslyFormattedCitation":"(Aura et al., 2024)"},"properties":{"noteIndex":0},"schema":"https://github.com/citation-style-language/schema/raw/master/csl-citation.json"}</w:instrText>
      </w:r>
      <w:r w:rsidRPr="00CD7259">
        <w:rPr>
          <w:rFonts w:ascii="Times New Roman" w:eastAsia="Times New Roman" w:hAnsi="Times New Roman" w:cs="Times New Roman"/>
          <w:sz w:val="24"/>
          <w:szCs w:val="24"/>
          <w:lang w:val="en-US"/>
        </w:rPr>
        <w:fldChar w:fldCharType="separate"/>
      </w:r>
      <w:r w:rsidRPr="00CD7259">
        <w:rPr>
          <w:rFonts w:ascii="Times New Roman" w:eastAsia="Times New Roman" w:hAnsi="Times New Roman" w:cs="Times New Roman"/>
          <w:sz w:val="24"/>
          <w:szCs w:val="24"/>
          <w:lang w:val="en-US"/>
        </w:rPr>
        <w:t>(Aura et al., 2024)</w:t>
      </w:r>
      <w:r w:rsidRPr="00CD7259">
        <w:rPr>
          <w:rFonts w:ascii="Times New Roman" w:eastAsia="Times New Roman" w:hAnsi="Times New Roman" w:cs="Times New Roman"/>
          <w:sz w:val="24"/>
          <w:szCs w:val="24"/>
        </w:rPr>
        <w:fldChar w:fldCharType="end"/>
      </w:r>
      <w:r w:rsidRPr="00CD7259">
        <w:rPr>
          <w:rFonts w:ascii="Times New Roman" w:eastAsia="Times New Roman" w:hAnsi="Times New Roman" w:cs="Times New Roman"/>
          <w:sz w:val="24"/>
          <w:szCs w:val="24"/>
          <w:lang w:val="en-US"/>
        </w:rPr>
        <w:t>yang menemukan bahwa keberadaan TPA secara signifikan menurunkan kenyamanan masyarakat di sekitar lokasi. Perbedaan ini diduga disebabkan oleh perbedaan kondisi lokasi penelitian, karakteristik sosial masyarakat, serta sistem pengelolaan TPA yang berbeda.</w:t>
      </w:r>
    </w:p>
    <w:p w14:paraId="2FDC589B"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b/>
          <w:bCs/>
          <w:sz w:val="24"/>
          <w:szCs w:val="24"/>
          <w:lang w:val="en-US"/>
        </w:rPr>
        <w:t>Implikasi Penelitian</w:t>
      </w:r>
    </w:p>
    <w:p w14:paraId="33400DDF"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Secara teoritis, hasil penelitian ini memperkuat bahwa kenyamanan masyarakat merupakan konsep multidimensional yang tidak hanya dipengaruhi oleh faktor jarak, tetapi juga oleh faktor psikologis, sosial, dan lingkungan.</w:t>
      </w:r>
    </w:p>
    <w:p w14:paraId="3B60FC81" w14:textId="77777777" w:rsidR="00CD7259" w:rsidRPr="00CD7259" w:rsidRDefault="00CD7259" w:rsidP="00CD7259">
      <w:pPr>
        <w:spacing w:before="120" w:after="0" w:line="360" w:lineRule="auto"/>
        <w:ind w:firstLine="567"/>
        <w:jc w:val="both"/>
        <w:rPr>
          <w:rFonts w:ascii="Times New Roman" w:eastAsia="Times New Roman" w:hAnsi="Times New Roman" w:cs="Times New Roman"/>
          <w:sz w:val="24"/>
          <w:szCs w:val="24"/>
          <w:lang w:val="en-US"/>
        </w:rPr>
      </w:pPr>
      <w:r w:rsidRPr="00CD7259">
        <w:rPr>
          <w:rFonts w:ascii="Times New Roman" w:eastAsia="Times New Roman" w:hAnsi="Times New Roman" w:cs="Times New Roman"/>
          <w:sz w:val="24"/>
          <w:szCs w:val="24"/>
          <w:lang w:val="en-US"/>
        </w:rPr>
        <w:t>Secara praktis, hasil penelitian ini menunjukkan bahwa dampak TPA perlu dikelola secara menyeluruh pada seluruh masyarakat dalam radius penelitian, karena dampaknya tidak berbeda secara signifikan berdasarkan jarak. Hal ini penting bagi pemerintah daerah dalam merancang kebijakan pengelolaan lingkungan yang lebih merata dan inklusif.</w:t>
      </w:r>
    </w:p>
    <w:p w14:paraId="5847F66F" w14:textId="37DE5D83"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688D5510" w14:textId="26C02CD5" w:rsidR="00CD7259" w:rsidRDefault="00CD7259" w:rsidP="00581400">
      <w:pPr>
        <w:spacing w:before="120" w:after="0" w:line="360" w:lineRule="auto"/>
        <w:ind w:firstLine="562"/>
        <w:jc w:val="both"/>
        <w:rPr>
          <w:rFonts w:ascii="Times New Roman" w:eastAsia="Times New Roman" w:hAnsi="Times New Roman" w:cs="Times New Roman"/>
          <w:sz w:val="24"/>
          <w:szCs w:val="24"/>
        </w:rPr>
      </w:pPr>
      <w:r w:rsidRPr="00CD7259">
        <w:rPr>
          <w:rFonts w:ascii="Times New Roman" w:eastAsia="Times New Roman" w:hAnsi="Times New Roman" w:cs="Times New Roman"/>
          <w:sz w:val="24"/>
          <w:szCs w:val="24"/>
        </w:rPr>
        <w:t>Berdasarkan hasil penelitian, dapat disimpulkan bahwa tidak terdapat perbedaan yang signifikan antara tingkat kenyamanan masyarakat yang tinggal pada jarak dekat (0–600 m) dan jarak jauh (700–1.000 m) dari TPA Terjun Marelan, sehingga jarak tempat tinggal dalam rentang tersebut tidak terbukti memengaruhi tingkat kenyamanan masyarakat secara signifikan. Penelitian ini memiliki keterbatasan pada jumlah sampel yang relatif kecil serta rentang jarak yang masih terbatas, sehingga belum sepenuhnya mampu menggambarkan variasi kondisi masyarakat secara lebih luas. Oleh karena itu, untuk penelitian selanjutnya disarankan agar memperluas wilayah dan rentang jarak penelitian, meningkatkan jumlah sampel, serta menambahkan variabel lain seperti arah angin, lama tinggal, dan kondisi sosial ekonomi agar hasil penelitian lebih komprehensif.</w:t>
      </w:r>
    </w:p>
    <w:p w14:paraId="4AFEDBBA" w14:textId="77777777" w:rsidR="00BB77EA" w:rsidRDefault="00BB77EA" w:rsidP="0039047B">
      <w:pPr>
        <w:spacing w:before="120" w:after="0" w:line="240" w:lineRule="auto"/>
        <w:rPr>
          <w:rFonts w:ascii="Times New Roman" w:eastAsia="Times New Roman" w:hAnsi="Times New Roman" w:cs="Times New Roman"/>
          <w:b/>
          <w:sz w:val="24"/>
          <w:szCs w:val="24"/>
        </w:rPr>
      </w:pPr>
    </w:p>
    <w:p w14:paraId="6E801D71" w14:textId="77777777" w:rsidR="00301F1E" w:rsidRDefault="00301F1E" w:rsidP="0039047B">
      <w:pPr>
        <w:spacing w:before="120" w:after="0" w:line="240" w:lineRule="auto"/>
        <w:rPr>
          <w:rFonts w:ascii="Times New Roman" w:eastAsia="Times New Roman" w:hAnsi="Times New Roman" w:cs="Times New Roman"/>
          <w:b/>
          <w:sz w:val="24"/>
          <w:szCs w:val="24"/>
        </w:rPr>
      </w:pPr>
    </w:p>
    <w:p w14:paraId="43F65975" w14:textId="77777777" w:rsidR="00301F1E" w:rsidRDefault="00301F1E" w:rsidP="0039047B">
      <w:pPr>
        <w:spacing w:before="120" w:after="0" w:line="240" w:lineRule="auto"/>
        <w:rPr>
          <w:rFonts w:ascii="Times New Roman" w:eastAsia="Times New Roman" w:hAnsi="Times New Roman" w:cs="Times New Roman"/>
          <w:b/>
          <w:sz w:val="24"/>
          <w:szCs w:val="24"/>
        </w:rPr>
      </w:pPr>
    </w:p>
    <w:p w14:paraId="2E404557" w14:textId="77581F38"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DAFTAR REFERENSI</w:t>
      </w:r>
    </w:p>
    <w:p w14:paraId="0F43346A"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bookmarkStart w:id="0" w:name="_heading=h.gjdgxs" w:colFirst="0" w:colLast="0"/>
      <w:bookmarkEnd w:id="0"/>
      <w:r w:rsidRPr="00CD7259">
        <w:rPr>
          <w:rFonts w:ascii="Times New Roman" w:eastAsia="Times New Roman" w:hAnsi="Times New Roman" w:cs="Times New Roman"/>
          <w:color w:val="222222"/>
          <w:sz w:val="24"/>
          <w:szCs w:val="24"/>
          <w:lang w:val="en-US"/>
        </w:rPr>
        <w:t xml:space="preserve">Annidia, F. S., Rahiem, M. D. H., &amp; Nourwahida, C. D. (2023). Dampak Sosial Ekonomi dari Pendirian Tempat Pemrosesan Akhir (TPA) dan Pemrosesan Sampah bagi Masyarakat Cipayung, Depok, Jawa Barat. </w:t>
      </w:r>
      <w:r w:rsidRPr="00CD7259">
        <w:rPr>
          <w:rFonts w:ascii="Times New Roman" w:eastAsia="Times New Roman" w:hAnsi="Times New Roman" w:cs="Times New Roman"/>
          <w:i/>
          <w:iCs/>
          <w:color w:val="222222"/>
          <w:sz w:val="24"/>
          <w:szCs w:val="24"/>
          <w:lang w:val="en-US"/>
        </w:rPr>
        <w:t>MUKADIMAH: Jurnal Pendidikan, Sejarah, Dan Ilmu-Ilmu Sosial</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7</w:t>
      </w:r>
      <w:r w:rsidRPr="00CD7259">
        <w:rPr>
          <w:rFonts w:ascii="Times New Roman" w:eastAsia="Times New Roman" w:hAnsi="Times New Roman" w:cs="Times New Roman"/>
          <w:color w:val="222222"/>
          <w:sz w:val="24"/>
          <w:szCs w:val="24"/>
          <w:lang w:val="en-US"/>
        </w:rPr>
        <w:t>(1), 1–11. https://doi.org/10.30743/mkd.v7i1.6464</w:t>
      </w:r>
    </w:p>
    <w:p w14:paraId="203E768A"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Apriani, Cut Nuraini, &amp; Abdi Sugiarto. (2025). The Impact of Final Waste Processing Site (TPA) on Land Use Change and Socioeconomic Conditions in Medan’s Surrounding Communities. </w:t>
      </w:r>
      <w:r w:rsidRPr="00CD7259">
        <w:rPr>
          <w:rFonts w:ascii="Times New Roman" w:eastAsia="Times New Roman" w:hAnsi="Times New Roman" w:cs="Times New Roman"/>
          <w:i/>
          <w:iCs/>
          <w:color w:val="222222"/>
          <w:sz w:val="24"/>
          <w:szCs w:val="24"/>
          <w:lang w:val="en-US"/>
        </w:rPr>
        <w:t>International Journal of Mechanical, Electrical and Civil Engineering</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2</w:t>
      </w:r>
      <w:r w:rsidRPr="00CD7259">
        <w:rPr>
          <w:rFonts w:ascii="Times New Roman" w:eastAsia="Times New Roman" w:hAnsi="Times New Roman" w:cs="Times New Roman"/>
          <w:color w:val="222222"/>
          <w:sz w:val="24"/>
          <w:szCs w:val="24"/>
          <w:lang w:val="en-US"/>
        </w:rPr>
        <w:t>(3), 231–244. https://doi.org/10.61132/ijmecie.v2i3.315</w:t>
      </w:r>
    </w:p>
    <w:p w14:paraId="1756502C"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Aulia, P., Wardani, C., Widyasamratri, H., Studi, P., Wilayah, P., Islam, U., &amp; Agung, S. (2026). </w:t>
      </w:r>
      <w:r w:rsidRPr="00CD7259">
        <w:rPr>
          <w:rFonts w:ascii="Times New Roman" w:eastAsia="Times New Roman" w:hAnsi="Times New Roman" w:cs="Times New Roman"/>
          <w:i/>
          <w:iCs/>
          <w:color w:val="222222"/>
          <w:sz w:val="24"/>
          <w:szCs w:val="24"/>
          <w:lang w:val="en-US"/>
        </w:rPr>
        <w:t xml:space="preserve">TERHADAP SOSIAL MASYARAKAT DI DESA </w:t>
      </w:r>
      <w:proofErr w:type="gramStart"/>
      <w:r w:rsidRPr="00CD7259">
        <w:rPr>
          <w:rFonts w:ascii="Times New Roman" w:eastAsia="Times New Roman" w:hAnsi="Times New Roman" w:cs="Times New Roman"/>
          <w:i/>
          <w:iCs/>
          <w:color w:val="222222"/>
          <w:sz w:val="24"/>
          <w:szCs w:val="24"/>
          <w:lang w:val="en-US"/>
        </w:rPr>
        <w:t>KLEGEN ,</w:t>
      </w:r>
      <w:proofErr w:type="gramEnd"/>
      <w:r w:rsidRPr="00CD7259">
        <w:rPr>
          <w:rFonts w:ascii="Times New Roman" w:eastAsia="Times New Roman" w:hAnsi="Times New Roman" w:cs="Times New Roman"/>
          <w:color w:val="222222"/>
          <w:sz w:val="24"/>
          <w:szCs w:val="24"/>
          <w:lang w:val="en-US"/>
        </w:rPr>
        <w:t>. 107–126.</w:t>
      </w:r>
    </w:p>
    <w:p w14:paraId="654E58C3"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Aura, A. C., Adriansa, M. W., Tala’a, N. I., Bakri, N., Mustainah, M., Kurnia, I., &amp; Haryono, D. (2024). Analisis Dampak Pencemaran Udara Akibat Oprasional Tempat Pembuangan Akhir Sampah Di Kelurahan Kawatuna. </w:t>
      </w:r>
      <w:r w:rsidRPr="00CD7259">
        <w:rPr>
          <w:rFonts w:ascii="Times New Roman" w:eastAsia="Times New Roman" w:hAnsi="Times New Roman" w:cs="Times New Roman"/>
          <w:i/>
          <w:iCs/>
          <w:color w:val="222222"/>
          <w:sz w:val="24"/>
          <w:szCs w:val="24"/>
          <w:lang w:val="en-US"/>
        </w:rPr>
        <w:t>Jurnal ADMINISTRATOR</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6</w:t>
      </w:r>
      <w:r w:rsidRPr="00CD7259">
        <w:rPr>
          <w:rFonts w:ascii="Times New Roman" w:eastAsia="Times New Roman" w:hAnsi="Times New Roman" w:cs="Times New Roman"/>
          <w:color w:val="222222"/>
          <w:sz w:val="24"/>
          <w:szCs w:val="24"/>
          <w:lang w:val="en-US"/>
        </w:rPr>
        <w:t>(2), 134–139. https://doi.org/10.55100/administrator.v6i2.92</w:t>
      </w:r>
    </w:p>
    <w:p w14:paraId="09B01433"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Axmalia, A., &amp; Mulasari, S. A. (2020). Axmalia A, Mulasari SA. Dampak Tempat Pembuangan Akhir Sampah (TPA) Terhadap Gangguan Kesehatan Masyarakat. Jurnal Kesehatan Komunitas. 2020 Oct 2</w:t>
      </w:r>
      <w:proofErr w:type="gramStart"/>
      <w:r w:rsidRPr="00CD7259">
        <w:rPr>
          <w:rFonts w:ascii="Times New Roman" w:eastAsia="Times New Roman" w:hAnsi="Times New Roman" w:cs="Times New Roman"/>
          <w:color w:val="222222"/>
          <w:sz w:val="24"/>
          <w:szCs w:val="24"/>
          <w:lang w:val="en-US"/>
        </w:rPr>
        <w:t>;6</w:t>
      </w:r>
      <w:proofErr w:type="gramEnd"/>
      <w:r w:rsidRPr="00CD7259">
        <w:rPr>
          <w:rFonts w:ascii="Times New Roman" w:eastAsia="Times New Roman" w:hAnsi="Times New Roman" w:cs="Times New Roman"/>
          <w:color w:val="222222"/>
          <w:sz w:val="24"/>
          <w:szCs w:val="24"/>
          <w:lang w:val="en-US"/>
        </w:rPr>
        <w:t xml:space="preserve">(2):171-6. </w:t>
      </w:r>
      <w:r w:rsidRPr="00CD7259">
        <w:rPr>
          <w:rFonts w:ascii="Times New Roman" w:eastAsia="Times New Roman" w:hAnsi="Times New Roman" w:cs="Times New Roman"/>
          <w:i/>
          <w:iCs/>
          <w:color w:val="222222"/>
          <w:sz w:val="24"/>
          <w:szCs w:val="24"/>
          <w:lang w:val="en-US"/>
        </w:rPr>
        <w:t>Jurnal Kesehatan Komunitas</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6</w:t>
      </w:r>
      <w:r w:rsidRPr="00CD7259">
        <w:rPr>
          <w:rFonts w:ascii="Times New Roman" w:eastAsia="Times New Roman" w:hAnsi="Times New Roman" w:cs="Times New Roman"/>
          <w:color w:val="222222"/>
          <w:sz w:val="24"/>
          <w:szCs w:val="24"/>
          <w:lang w:val="en-US"/>
        </w:rPr>
        <w:t>(2), 171–176.</w:t>
      </w:r>
    </w:p>
    <w:p w14:paraId="43039675"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Bintang, R. S., Mutiah, D., &amp; Rangga, F. (2024). Uji Validitas Konstruk Skala Participatory Behaviors Scale (PBS): Pendekatan dengan Confirmatory Factor Analysis </w:t>
      </w:r>
      <w:proofErr w:type="gramStart"/>
      <w:r w:rsidRPr="00CD7259">
        <w:rPr>
          <w:rFonts w:ascii="Times New Roman" w:eastAsia="Times New Roman" w:hAnsi="Times New Roman" w:cs="Times New Roman"/>
          <w:color w:val="222222"/>
          <w:sz w:val="24"/>
          <w:szCs w:val="24"/>
          <w:lang w:val="en-US"/>
        </w:rPr>
        <w:t>( CFA</w:t>
      </w:r>
      <w:proofErr w:type="gramEnd"/>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Edukatif : Jurnal Ilmu Pendidikan</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6</w:t>
      </w:r>
      <w:r w:rsidRPr="00CD7259">
        <w:rPr>
          <w:rFonts w:ascii="Times New Roman" w:eastAsia="Times New Roman" w:hAnsi="Times New Roman" w:cs="Times New Roman"/>
          <w:color w:val="222222"/>
          <w:sz w:val="24"/>
          <w:szCs w:val="24"/>
          <w:lang w:val="en-US"/>
        </w:rPr>
        <w:t>(3), 2137–2144. https://doi.org/10.31004/edukatif.v6i3.6627</w:t>
      </w:r>
    </w:p>
    <w:p w14:paraId="7BAFED9A"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Chairiah, A., Jati, D. R., &amp; Sulastri, A. (2023). Analisis Sebaran Konsentrasi Gas H2S dan NH3 serta Dampaknya terhadap Masyarakat di sekitar TPA Batu Layang Kota Pontianak. </w:t>
      </w:r>
      <w:r w:rsidRPr="00CD7259">
        <w:rPr>
          <w:rFonts w:ascii="Times New Roman" w:eastAsia="Times New Roman" w:hAnsi="Times New Roman" w:cs="Times New Roman"/>
          <w:i/>
          <w:iCs/>
          <w:color w:val="222222"/>
          <w:sz w:val="24"/>
          <w:szCs w:val="24"/>
          <w:lang w:val="en-US"/>
        </w:rPr>
        <w:t>Jurnal Ilmu Lingkungan</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21</w:t>
      </w:r>
      <w:r w:rsidRPr="00CD7259">
        <w:rPr>
          <w:rFonts w:ascii="Times New Roman" w:eastAsia="Times New Roman" w:hAnsi="Times New Roman" w:cs="Times New Roman"/>
          <w:color w:val="222222"/>
          <w:sz w:val="24"/>
          <w:szCs w:val="24"/>
          <w:lang w:val="en-US"/>
        </w:rPr>
        <w:t>(3), 616–626. https://doi.org/10.14710/jil.21.3.616-626</w:t>
      </w:r>
    </w:p>
    <w:p w14:paraId="273B2AC0"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Fadli, H., Gravitiani, E., &amp; Rahardjo, M. (2023). Externality Value of Waste Power Plant (PLTSa) in TPA Terjun Medan Marelan Using Benefit Transfer Method. </w:t>
      </w:r>
      <w:r w:rsidRPr="00CD7259">
        <w:rPr>
          <w:rFonts w:ascii="Times New Roman" w:eastAsia="Times New Roman" w:hAnsi="Times New Roman" w:cs="Times New Roman"/>
          <w:i/>
          <w:iCs/>
          <w:color w:val="222222"/>
          <w:sz w:val="24"/>
          <w:szCs w:val="24"/>
          <w:lang w:val="en-US"/>
        </w:rPr>
        <w:t>Randwick International of Social Science Journal</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4</w:t>
      </w:r>
      <w:r w:rsidRPr="00CD7259">
        <w:rPr>
          <w:rFonts w:ascii="Times New Roman" w:eastAsia="Times New Roman" w:hAnsi="Times New Roman" w:cs="Times New Roman"/>
          <w:color w:val="222222"/>
          <w:sz w:val="24"/>
          <w:szCs w:val="24"/>
          <w:lang w:val="en-US"/>
        </w:rPr>
        <w:t>(3), 670–678. https://doi.org/10.47175/rissj.v4i3.769</w:t>
      </w:r>
    </w:p>
    <w:p w14:paraId="23E3E0B1"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Farisa Hidayatullah, S. A. M. (2020). No Gangguan Saluran Penapasan Akibat Pencemaran Udara di Lingkungan Tempat Pembuangan Akhir (TPA) Farisa. </w:t>
      </w:r>
      <w:r w:rsidRPr="00CD7259">
        <w:rPr>
          <w:rFonts w:ascii="Times New Roman" w:eastAsia="Times New Roman" w:hAnsi="Times New Roman" w:cs="Times New Roman"/>
          <w:i/>
          <w:iCs/>
          <w:color w:val="222222"/>
          <w:sz w:val="24"/>
          <w:szCs w:val="24"/>
          <w:lang w:val="en-US"/>
        </w:rPr>
        <w:t>Jurnal Kesehatan</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21</w:t>
      </w:r>
      <w:r w:rsidRPr="00CD7259">
        <w:rPr>
          <w:rFonts w:ascii="Times New Roman" w:eastAsia="Times New Roman" w:hAnsi="Times New Roman" w:cs="Times New Roman"/>
          <w:color w:val="222222"/>
          <w:sz w:val="24"/>
          <w:szCs w:val="24"/>
          <w:lang w:val="en-US"/>
        </w:rPr>
        <w:t>(1), 1–9.</w:t>
      </w:r>
    </w:p>
    <w:p w14:paraId="782FB113"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Hasanuddin, A. S., &amp; Iskandar, D. A. (2025). Dampak Keberadaan Tempat Pembuangan Akhir Tamangapa Terhadap Kondisi Kehidupan Masyarakat. </w:t>
      </w:r>
      <w:r w:rsidRPr="00CD7259">
        <w:rPr>
          <w:rFonts w:ascii="Times New Roman" w:eastAsia="Times New Roman" w:hAnsi="Times New Roman" w:cs="Times New Roman"/>
          <w:i/>
          <w:iCs/>
          <w:color w:val="222222"/>
          <w:sz w:val="24"/>
          <w:szCs w:val="24"/>
          <w:lang w:val="en-US"/>
        </w:rPr>
        <w:t>Urban and Regional Studies Journal</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7</w:t>
      </w:r>
      <w:r w:rsidRPr="00CD7259">
        <w:rPr>
          <w:rFonts w:ascii="Times New Roman" w:eastAsia="Times New Roman" w:hAnsi="Times New Roman" w:cs="Times New Roman"/>
          <w:color w:val="222222"/>
          <w:sz w:val="24"/>
          <w:szCs w:val="24"/>
          <w:lang w:val="en-US"/>
        </w:rPr>
        <w:t>(2), 236–243. https://doi.org/10.35965/ursj.v7i2.6275</w:t>
      </w:r>
    </w:p>
    <w:p w14:paraId="58A930BE"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Kamaliya, N. (2026). Dampak keberadaan tempat pembuangan akhir sampah terhadap kesejahteraan masyarakat sekitar TPA Karangdieng Kabupaten Mojokerto. </w:t>
      </w:r>
      <w:r w:rsidRPr="00CD7259">
        <w:rPr>
          <w:rFonts w:ascii="Times New Roman" w:eastAsia="Times New Roman" w:hAnsi="Times New Roman" w:cs="Times New Roman"/>
          <w:i/>
          <w:iCs/>
          <w:color w:val="222222"/>
          <w:sz w:val="24"/>
          <w:szCs w:val="24"/>
          <w:lang w:val="en-US"/>
        </w:rPr>
        <w:t>BEMAS: Jurnal Bermasyarakat</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6</w:t>
      </w:r>
      <w:r w:rsidRPr="00CD7259">
        <w:rPr>
          <w:rFonts w:ascii="Times New Roman" w:eastAsia="Times New Roman" w:hAnsi="Times New Roman" w:cs="Times New Roman"/>
          <w:color w:val="222222"/>
          <w:sz w:val="24"/>
          <w:szCs w:val="24"/>
          <w:lang w:val="en-US"/>
        </w:rPr>
        <w:t>(2), 230–236. https://doi.org/10.37373/bemas.v6i2.1684</w:t>
      </w:r>
    </w:p>
    <w:p w14:paraId="6DBFD930"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lastRenderedPageBreak/>
        <w:t xml:space="preserve">Lubis, H. D., Kokoh, R., &amp; Putro, H. (2025). Analisis Dampak Lingkungan Kerja Operasional TPA terhadap Kesehatan Masyarakat di Desa Kaliabu, Kecamatan Mejayan, Kabupaten Madiun: Menganalisis Dampak yang Terjadi pada Kesehatan Masyarakat dari Pengelolaan Sampah di Lingkungan TPA Kaliabu. </w:t>
      </w:r>
      <w:r w:rsidRPr="00CD7259">
        <w:rPr>
          <w:rFonts w:ascii="Times New Roman" w:eastAsia="Times New Roman" w:hAnsi="Times New Roman" w:cs="Times New Roman"/>
          <w:i/>
          <w:iCs/>
          <w:color w:val="222222"/>
          <w:sz w:val="24"/>
          <w:szCs w:val="24"/>
          <w:lang w:val="en-US"/>
        </w:rPr>
        <w:t>Jurnal Teknik</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05</w:t>
      </w:r>
      <w:r w:rsidRPr="00CD7259">
        <w:rPr>
          <w:rFonts w:ascii="Times New Roman" w:eastAsia="Times New Roman" w:hAnsi="Times New Roman" w:cs="Times New Roman"/>
          <w:color w:val="222222"/>
          <w:sz w:val="24"/>
          <w:szCs w:val="24"/>
          <w:lang w:val="en-US"/>
        </w:rPr>
        <w:t>(02), 1161–1177.</w:t>
      </w:r>
    </w:p>
    <w:p w14:paraId="73FC036A"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Muzambiq, S., Husin, A., Nurfahasdi, M., &amp; Dongoran, R. M. (2023). Identification of the Distribution of Leachate in the TPA </w:t>
      </w:r>
      <w:proofErr w:type="gramStart"/>
      <w:r w:rsidRPr="00CD7259">
        <w:rPr>
          <w:rFonts w:ascii="Times New Roman" w:eastAsia="Times New Roman" w:hAnsi="Times New Roman" w:cs="Times New Roman"/>
          <w:color w:val="222222"/>
          <w:sz w:val="24"/>
          <w:szCs w:val="24"/>
          <w:lang w:val="en-US"/>
        </w:rPr>
        <w:t>Terjun ,</w:t>
      </w:r>
      <w:proofErr w:type="gramEnd"/>
      <w:r w:rsidRPr="00CD7259">
        <w:rPr>
          <w:rFonts w:ascii="Times New Roman" w:eastAsia="Times New Roman" w:hAnsi="Times New Roman" w:cs="Times New Roman"/>
          <w:color w:val="222222"/>
          <w:sz w:val="24"/>
          <w:szCs w:val="24"/>
          <w:lang w:val="en-US"/>
        </w:rPr>
        <w:t xml:space="preserve"> Medan Marelan District , Medan City Using the Resistivity 2D Method. </w:t>
      </w:r>
      <w:r w:rsidRPr="00CD7259">
        <w:rPr>
          <w:rFonts w:ascii="Times New Roman" w:eastAsia="Times New Roman" w:hAnsi="Times New Roman" w:cs="Times New Roman"/>
          <w:i/>
          <w:iCs/>
          <w:color w:val="222222"/>
          <w:sz w:val="24"/>
          <w:szCs w:val="24"/>
          <w:lang w:val="en-US"/>
        </w:rPr>
        <w:t>Jurnal Ilmu Lingkungan</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21</w:t>
      </w:r>
      <w:r w:rsidRPr="00CD7259">
        <w:rPr>
          <w:rFonts w:ascii="Times New Roman" w:eastAsia="Times New Roman" w:hAnsi="Times New Roman" w:cs="Times New Roman"/>
          <w:color w:val="222222"/>
          <w:sz w:val="24"/>
          <w:szCs w:val="24"/>
          <w:lang w:val="en-US"/>
        </w:rPr>
        <w:t>(2), 251–256. https://doi.org/10.14710/jil.21.2.251-256</w:t>
      </w:r>
    </w:p>
    <w:p w14:paraId="261BF8D0"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Prisilla, C., Insani, I. N., Rizky, M., Syamsia, S., Arsat, Y., &amp; Yusuf, H. (2024). Analisis Dampak Pencemaran Lindi Tempat Pemrosesan Akhir </w:t>
      </w:r>
      <w:proofErr w:type="gramStart"/>
      <w:r w:rsidRPr="00CD7259">
        <w:rPr>
          <w:rFonts w:ascii="Times New Roman" w:eastAsia="Times New Roman" w:hAnsi="Times New Roman" w:cs="Times New Roman"/>
          <w:color w:val="222222"/>
          <w:sz w:val="24"/>
          <w:szCs w:val="24"/>
          <w:lang w:val="en-US"/>
        </w:rPr>
        <w:t>( TPA</w:t>
      </w:r>
      <w:proofErr w:type="gramEnd"/>
      <w:r w:rsidRPr="00CD7259">
        <w:rPr>
          <w:rFonts w:ascii="Times New Roman" w:eastAsia="Times New Roman" w:hAnsi="Times New Roman" w:cs="Times New Roman"/>
          <w:color w:val="222222"/>
          <w:sz w:val="24"/>
          <w:szCs w:val="24"/>
          <w:lang w:val="en-US"/>
        </w:rPr>
        <w:t xml:space="preserve"> ) Desa Jononunu Terhadap Kualitas Air dan Lingkungan Perkebunan : Studi Literatur Analysis of the Impact of Leachate Pollution at the Final Processing Site ( TPA ) in Jononunu Village on Water. </w:t>
      </w:r>
      <w:r w:rsidRPr="00CD7259">
        <w:rPr>
          <w:rFonts w:ascii="Times New Roman" w:eastAsia="Times New Roman" w:hAnsi="Times New Roman" w:cs="Times New Roman"/>
          <w:i/>
          <w:iCs/>
          <w:color w:val="222222"/>
          <w:sz w:val="24"/>
          <w:szCs w:val="24"/>
          <w:lang w:val="en-US"/>
        </w:rPr>
        <w:t>Jurnal Kolaboratif Sains</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7</w:t>
      </w:r>
      <w:r w:rsidRPr="00CD7259">
        <w:rPr>
          <w:rFonts w:ascii="Times New Roman" w:eastAsia="Times New Roman" w:hAnsi="Times New Roman" w:cs="Times New Roman"/>
          <w:color w:val="222222"/>
          <w:sz w:val="24"/>
          <w:szCs w:val="24"/>
          <w:lang w:val="en-US"/>
        </w:rPr>
        <w:t>(5), 1806–1812. https://doi.org/10.56338/jks.v7i5.5254</w:t>
      </w:r>
    </w:p>
    <w:p w14:paraId="1A250E6B" w14:textId="77777777"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US"/>
        </w:rPr>
      </w:pPr>
      <w:r w:rsidRPr="00CD7259">
        <w:rPr>
          <w:rFonts w:ascii="Times New Roman" w:eastAsia="Times New Roman" w:hAnsi="Times New Roman" w:cs="Times New Roman"/>
          <w:color w:val="222222"/>
          <w:sz w:val="24"/>
          <w:szCs w:val="24"/>
          <w:lang w:val="en-US"/>
        </w:rPr>
        <w:t xml:space="preserve">Putri Erma Yunita, Aldian Setia Luhur, Nurhalizah Pasha, Hamidatus Salihah, &amp; Sari Wulandari. (2025). Perspektif Masyarakat terhadap Pencemaran Udara di Kawasan TPA Terjun Kota Medan. </w:t>
      </w:r>
      <w:r w:rsidRPr="00CD7259">
        <w:rPr>
          <w:rFonts w:ascii="Times New Roman" w:eastAsia="Times New Roman" w:hAnsi="Times New Roman" w:cs="Times New Roman"/>
          <w:i/>
          <w:iCs/>
          <w:color w:val="222222"/>
          <w:sz w:val="24"/>
          <w:szCs w:val="24"/>
          <w:lang w:val="en-US"/>
        </w:rPr>
        <w:t>Jurnal Riset Rumpun Ilmu Sosial, Politik Dan Humaniora</w:t>
      </w:r>
      <w:r w:rsidRPr="00CD7259">
        <w:rPr>
          <w:rFonts w:ascii="Times New Roman" w:eastAsia="Times New Roman" w:hAnsi="Times New Roman" w:cs="Times New Roman"/>
          <w:color w:val="222222"/>
          <w:sz w:val="24"/>
          <w:szCs w:val="24"/>
          <w:lang w:val="en-US"/>
        </w:rPr>
        <w:t xml:space="preserve">, </w:t>
      </w:r>
      <w:r w:rsidRPr="00CD7259">
        <w:rPr>
          <w:rFonts w:ascii="Times New Roman" w:eastAsia="Times New Roman" w:hAnsi="Times New Roman" w:cs="Times New Roman"/>
          <w:i/>
          <w:iCs/>
          <w:color w:val="222222"/>
          <w:sz w:val="24"/>
          <w:szCs w:val="24"/>
          <w:lang w:val="en-US"/>
        </w:rPr>
        <w:t>4</w:t>
      </w:r>
      <w:r w:rsidRPr="00CD7259">
        <w:rPr>
          <w:rFonts w:ascii="Times New Roman" w:eastAsia="Times New Roman" w:hAnsi="Times New Roman" w:cs="Times New Roman"/>
          <w:color w:val="222222"/>
          <w:sz w:val="24"/>
          <w:szCs w:val="24"/>
          <w:lang w:val="en-US"/>
        </w:rPr>
        <w:t>(3), 512–519. https://doi.org/10.55606/jurrish.v4i3.5940</w:t>
      </w:r>
    </w:p>
    <w:p w14:paraId="037ACAE7" w14:textId="1AA6E3F5" w:rsidR="00CD7259" w:rsidRPr="00CD7259" w:rsidRDefault="00CD7259" w:rsidP="00CD725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CD7259">
        <w:rPr>
          <w:rFonts w:ascii="Times New Roman" w:eastAsia="Times New Roman" w:hAnsi="Times New Roman" w:cs="Times New Roman"/>
          <w:color w:val="222222"/>
          <w:sz w:val="24"/>
          <w:szCs w:val="24"/>
          <w:lang w:val="en-US"/>
        </w:rPr>
        <w:t>Rampun, G. J., Ramadhan, M. R., &amp; Suhaeb, F. W. (2025). Jurnal Pendidikan Multidisipliner PENGARUH PENCEMARAN UDARA DI LINGKUNGAN TPA ANTANG TERHADAP GANGGUAN SALURAN PERNAPASAN (LITERATURE REVIEW).</w:t>
      </w:r>
    </w:p>
    <w:sectPr w:rsidR="00CD7259" w:rsidRPr="00CD7259" w:rsidSect="008F0978">
      <w:headerReference w:type="even" r:id="rId8"/>
      <w:headerReference w:type="default" r:id="rId9"/>
      <w:footerReference w:type="even" r:id="rId10"/>
      <w:footerReference w:type="default" r:id="rId11"/>
      <w:headerReference w:type="first" r:id="rId12"/>
      <w:footerReference w:type="first" r:id="rId13"/>
      <w:pgSz w:w="11906" w:h="16838"/>
      <w:pgMar w:top="1843" w:right="1701" w:bottom="1701" w:left="1701" w:header="0" w:footer="0" w:gutter="0"/>
      <w:pgNumType w:start="12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F0620" w14:textId="77777777" w:rsidR="00E400B2" w:rsidRDefault="00E400B2">
      <w:pPr>
        <w:spacing w:after="0" w:line="240" w:lineRule="auto"/>
      </w:pPr>
      <w:r>
        <w:separator/>
      </w:r>
    </w:p>
  </w:endnote>
  <w:endnote w:type="continuationSeparator" w:id="0">
    <w:p w14:paraId="5555FBFF" w14:textId="77777777" w:rsidR="00E400B2" w:rsidRDefault="00E4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78A6" w14:textId="60263493" w:rsidR="005511FA" w:rsidRPr="00674B93" w:rsidRDefault="005511FA" w:rsidP="005511FA">
    <w:pPr>
      <w:tabs>
        <w:tab w:val="left" w:pos="4695"/>
        <w:tab w:val="left" w:pos="5355"/>
      </w:tabs>
      <w:rPr>
        <w:rFonts w:ascii="Tahoma" w:eastAsia="Tahoma" w:hAnsi="Tahoma" w:cs="Tahoma"/>
        <w:sz w:val="20"/>
        <w:szCs w:val="20"/>
      </w:rPr>
    </w:pPr>
    <w:r w:rsidRPr="007807B6">
      <w:rPr>
        <w:noProof/>
        <w:sz w:val="20"/>
        <w:szCs w:val="20"/>
        <w:lang w:val="en-US"/>
      </w:rPr>
      <mc:AlternateContent>
        <mc:Choice Requires="wps">
          <w:drawing>
            <wp:anchor distT="0" distB="0" distL="114296" distR="114296" simplePos="0" relativeHeight="251686912" behindDoc="0" locked="0" layoutInCell="1" allowOverlap="1" wp14:anchorId="0FCC1D2C" wp14:editId="2487E28C">
              <wp:simplePos x="0" y="0"/>
              <wp:positionH relativeFrom="column">
                <wp:posOffset>312420</wp:posOffset>
              </wp:positionH>
              <wp:positionV relativeFrom="paragraph">
                <wp:posOffset>-100965</wp:posOffset>
              </wp:positionV>
              <wp:extent cx="0" cy="359410"/>
              <wp:effectExtent l="0" t="0" r="38100" b="21590"/>
              <wp:wrapNone/>
              <wp:docPr id="3"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0944D0" id="_x0000_t32" coordsize="21600,21600" o:spt="32" o:oned="t" path="m,l21600,21600e" filled="f">
              <v:path arrowok="t" fillok="f" o:connecttype="none"/>
              <o:lock v:ext="edit" shapetype="t"/>
            </v:shapetype>
            <v:shape id="Straight Arrow Connector 35" o:spid="_x0000_s1026" type="#_x0000_t32" style="position:absolute;margin-left:24.6pt;margin-top:-7.95pt;width:0;height:28.3pt;z-index:251686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85wEAANMDAAAOAAAAZHJzL2Uyb0RvYy54bWysU9uO0zAQfUfiHyy/06QtC2zUdIValpcV&#10;VCr7AVPbSSx809jbtH/P2OkWFl4Qwg+Wx3M7c3y8ujtZw44Ko/au5fNZzZlywkvt+pY/frt/84Gz&#10;mMBJMN6plp9V5Hfr169WY2jUwg/eSIWMirjYjKHlQ0qhqaooBmUhznxQjpydRwuJTOwriTBSdWuq&#10;RV2/q0aPMqAXKka63U5Ovi71u06J9LXrokrMtJywpbJj2Q95r9YraHqEMGhxgQH/gMKCdtT0WmoL&#10;CdgT6j9KWS3QR9+lmfC28l2nhSoz0DTz+rdp9gMEVWYhcmK40hT/X1nx5bhDpmXLl5w5sPRE+4Sg&#10;+yGxj4h+ZBvvHNHokS1vMl1jiA1lbdwO88Di5PbhwYvvkXzVC2c2YpjCTh3aHE4Ts1Oh/3ylX50S&#10;E9OloNvlze3beXmZCprnvIAxfVbesnxoebxgvIKbF/bh+BBTxgHNc0Ju6vy9NqY8tXFsJJ0u3tek&#10;BgGkuM5AoqMNxEF0fakTvdEy5+TsiP1hY5AdIWuorMwD9XgRlhtuIQ5TXHFN6kL/5GRpPiiQn5xk&#10;6RyIZ0cfgmc0VknOjKL/k08lMoE2fxNJIIy78D5RnUk/eHneYcaYLVJOQXtReZbmr3aJ+vkX1z8A&#10;AAD//wMAUEsDBBQABgAIAAAAIQDdyBGa2wAAAAgBAAAPAAAAZHJzL2Rvd25yZXYueG1sTI9NT8Mw&#10;DIbvSPyHyJO4bemmdR+l6QRInCe6XbiljddUa5yqydby7zFc4GTZfvT6cX6YXCfuOITWk4LlIgGB&#10;VHvTUqPgfHqf70CEqMnozhMq+MIAh+LxIdeZ8SN94L2MjeAQCplWYGPsMylDbdHpsPA9Eu8ufnA6&#10;cjs00gx65HDXyVWSbKTTLfEFq3t8s1hfy5tTsF2bT683r2mVjsdTxIstd8dJqafZ9PIMIuIU/2D4&#10;0Wd1KNip8jcyQXQK1vsVkwrmy3QPgoHfQcU12YIscvn/geIbAAD//wMAUEsBAi0AFAAGAAgAAAAh&#10;ALaDOJL+AAAA4QEAABMAAAAAAAAAAAAAAAAAAAAAAFtDb250ZW50X1R5cGVzXS54bWxQSwECLQAU&#10;AAYACAAAACEAOP0h/9YAAACUAQAACwAAAAAAAAAAAAAAAAAvAQAAX3JlbHMvLnJlbHNQSwECLQAU&#10;AAYACAAAACEAy/6D/OcBAADTAwAADgAAAAAAAAAAAAAAAAAuAgAAZHJzL2Uyb0RvYy54bWxQSwEC&#10;LQAUAAYACAAAACEA3cgRmtsAAAAIAQAADwAAAAAAAAAAAAAAAABBBAAAZHJzL2Rvd25yZXYueG1s&#10;UEsFBgAAAAAEAAQA8wAAAEkFAAAAAA==&#10;" strokeweight="1pt">
              <o:lock v:ext="edit" shapetype="f"/>
            </v:shape>
          </w:pict>
        </mc:Fallback>
      </mc:AlternateContent>
    </w:r>
    <w:r w:rsidRPr="007807B6">
      <w:rPr>
        <w:rFonts w:ascii="Tahoma" w:eastAsia="Tahoma" w:hAnsi="Tahoma" w:cs="Tahoma"/>
        <w:sz w:val="20"/>
        <w:szCs w:val="20"/>
      </w:rPr>
      <w:fldChar w:fldCharType="begin"/>
    </w:r>
    <w:r w:rsidRPr="007807B6">
      <w:rPr>
        <w:rFonts w:ascii="Tahoma" w:eastAsia="Tahoma" w:hAnsi="Tahoma" w:cs="Tahoma"/>
        <w:sz w:val="20"/>
        <w:szCs w:val="20"/>
      </w:rPr>
      <w:instrText>PAGE</w:instrText>
    </w:r>
    <w:r w:rsidRPr="007807B6">
      <w:rPr>
        <w:rFonts w:ascii="Tahoma" w:eastAsia="Tahoma" w:hAnsi="Tahoma" w:cs="Tahoma"/>
        <w:sz w:val="20"/>
        <w:szCs w:val="20"/>
      </w:rPr>
      <w:fldChar w:fldCharType="separate"/>
    </w:r>
    <w:r w:rsidR="00FA23EB">
      <w:rPr>
        <w:rFonts w:ascii="Tahoma" w:eastAsia="Tahoma" w:hAnsi="Tahoma" w:cs="Tahoma"/>
        <w:noProof/>
        <w:sz w:val="20"/>
        <w:szCs w:val="20"/>
      </w:rPr>
      <w:t>1296</w:t>
    </w:r>
    <w:r w:rsidRPr="007807B6">
      <w:rPr>
        <w:rFonts w:ascii="Tahoma" w:eastAsia="Tahoma" w:hAnsi="Tahoma" w:cs="Tahoma"/>
        <w:sz w:val="20"/>
        <w:szCs w:val="20"/>
      </w:rPr>
      <w:fldChar w:fldCharType="end"/>
    </w:r>
    <w:r w:rsidRPr="007807B6">
      <w:rPr>
        <w:rFonts w:ascii="Tahoma" w:eastAsia="Tahoma" w:hAnsi="Tahoma" w:cs="Tahoma"/>
        <w:sz w:val="20"/>
        <w:szCs w:val="20"/>
      </w:rPr>
      <w:t xml:space="preserve">     </w:t>
    </w:r>
    <w:r w:rsidRPr="007807B6">
      <w:rPr>
        <w:rFonts w:ascii="Tahoma" w:eastAsia="Tahoma" w:hAnsi="Tahoma" w:cs="Tahoma"/>
        <w:sz w:val="20"/>
        <w:szCs w:val="20"/>
        <w:lang w:val="en-GB"/>
      </w:rPr>
      <w:t xml:space="preserve">   </w:t>
    </w:r>
    <w:r w:rsidR="00B75DA3">
      <w:rPr>
        <w:rFonts w:ascii="Tahoma" w:eastAsia="Tahoma" w:hAnsi="Tahoma" w:cs="Tahoma"/>
        <w:b/>
        <w:sz w:val="20"/>
        <w:szCs w:val="20"/>
        <w:lang w:val="en-US"/>
      </w:rPr>
      <w:t xml:space="preserve">JMIA </w:t>
    </w:r>
    <w:r w:rsidR="00B75DA3" w:rsidRPr="007807B6">
      <w:rPr>
        <w:rFonts w:ascii="Tahoma" w:eastAsia="Tahoma" w:hAnsi="Tahoma" w:cs="Tahoma"/>
        <w:sz w:val="20"/>
        <w:szCs w:val="20"/>
      </w:rPr>
      <w:t xml:space="preserve"> - VOLUME </w:t>
    </w:r>
    <w:r w:rsidR="00B75DA3">
      <w:rPr>
        <w:rFonts w:ascii="Tahoma" w:eastAsia="Tahoma" w:hAnsi="Tahoma" w:cs="Tahoma"/>
        <w:sz w:val="20"/>
        <w:szCs w:val="20"/>
        <w:lang w:val="en-US"/>
      </w:rPr>
      <w:t>3</w:t>
    </w:r>
    <w:r w:rsidR="00B75DA3" w:rsidRPr="007807B6">
      <w:rPr>
        <w:rFonts w:ascii="Tahoma" w:eastAsia="Tahoma" w:hAnsi="Tahoma" w:cs="Tahoma"/>
        <w:sz w:val="20"/>
        <w:szCs w:val="20"/>
      </w:rPr>
      <w:t xml:space="preserve">, NO. </w:t>
    </w:r>
    <w:r w:rsidR="00B75DA3">
      <w:rPr>
        <w:rFonts w:ascii="Tahoma" w:eastAsia="Tahoma" w:hAnsi="Tahoma" w:cs="Tahoma"/>
        <w:sz w:val="20"/>
        <w:szCs w:val="20"/>
        <w:lang w:val="en-GB"/>
      </w:rPr>
      <w:t>3</w:t>
    </w:r>
    <w:r w:rsidR="00B75DA3" w:rsidRPr="007807B6">
      <w:rPr>
        <w:rFonts w:ascii="Tahoma" w:eastAsia="Tahoma" w:hAnsi="Tahoma" w:cs="Tahoma"/>
        <w:sz w:val="20"/>
        <w:szCs w:val="20"/>
      </w:rPr>
      <w:t xml:space="preserve">, </w:t>
    </w:r>
    <w:r w:rsidR="00B75DA3">
      <w:rPr>
        <w:rFonts w:ascii="Tahoma" w:eastAsia="Tahoma" w:hAnsi="Tahoma" w:cs="Tahoma"/>
        <w:sz w:val="20"/>
        <w:szCs w:val="20"/>
        <w:lang w:val="en-GB"/>
      </w:rPr>
      <w:t xml:space="preserve">JUNI </w:t>
    </w:r>
    <w:r w:rsidR="00B75DA3" w:rsidRPr="007807B6">
      <w:rPr>
        <w:rFonts w:ascii="Tahoma" w:eastAsia="Tahoma" w:hAnsi="Tahoma" w:cs="Tahoma"/>
        <w:sz w:val="20"/>
        <w:szCs w:val="20"/>
      </w:rPr>
      <w:t>202</w:t>
    </w:r>
    <w:r w:rsidR="00B75DA3" w:rsidRPr="007807B6">
      <w:rPr>
        <w:noProof/>
        <w:sz w:val="20"/>
        <w:szCs w:val="20"/>
        <w:lang w:val="en-US"/>
      </w:rPr>
      <mc:AlternateContent>
        <mc:Choice Requires="wps">
          <w:drawing>
            <wp:anchor distT="0" distB="0" distL="114297" distR="114297" simplePos="0" relativeHeight="251696128" behindDoc="0" locked="0" layoutInCell="1" allowOverlap="1" wp14:anchorId="34BBC697" wp14:editId="22BE6ADF">
              <wp:simplePos x="0" y="0"/>
              <wp:positionH relativeFrom="column">
                <wp:posOffset>355599</wp:posOffset>
              </wp:positionH>
              <wp:positionV relativeFrom="paragraph">
                <wp:posOffset>152400</wp:posOffset>
              </wp:positionV>
              <wp:extent cx="0" cy="12700"/>
              <wp:effectExtent l="0" t="0" r="19050" b="6350"/>
              <wp:wrapNone/>
              <wp:docPr id="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0563E33" id="_x0000_t32" coordsize="21600,21600" o:spt="32" o:oned="t" path="m,l21600,21600e" filled="f">
              <v:path arrowok="t" fillok="f" o:connecttype="none"/>
              <o:lock v:ext="edit" shapetype="t"/>
            </v:shapetype>
            <v:shape id="Straight Arrow Connector 36" o:spid="_x0000_s1026" type="#_x0000_t32" style="position:absolute;margin-left:28pt;margin-top:12pt;width:0;height:1pt;z-index:251696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eL+AEAAO4DAAAOAAAAZHJzL2Uyb0RvYy54bWysU81uEzEQviPxDpbvZJNAS1llU6GEcqkg&#10;UsoDTL3erIXtsTwmm7w9Y2+6pXBAQvhgeTx/33wzs7o9OSuOOpJB38jFbC6F9gpb4w+N/PZw9+ZG&#10;CkrgW7DodSPPmuTt+vWr1RBqvcQebauj4CCe6iE0sk8p1FVFqtcOaIZBe1Z2GB0kFuOhaiMMHN3Z&#10;ajmfX1cDxjZEVJqIf7ejUq5L/K7TKn3tOtJJ2EYytlTuWO7HfFfrFdSHCKE36gID/gGFA+M56RRq&#10;CwnEj2j+COWMikjYpZlCV2HXGaVLDVzNYv5bNfsegi61MDkUJpro/4VVX467KEzbyHdSeHDcon2K&#10;YA59Eh9jxEFs0HumEaN4e53pGgLV7LXxu5gLVie/D/eovhPrqhfKLFAYzU5ddNmcKxanQv95ol+f&#10;klDjp+LfxfL9vDSmgvrJLURKnzU6kR+NpAvECduikA/He0oZBtRPDjmnxztjbem09WJo5Ier5ZUU&#10;CnjeOguJny4wA+QPJQyhNW12yc50po2N4gg8QDx3LQ4PjFcKC5RYwUWUk5nhtC9cM4YtUD86F9U4&#10;b84kHnprXCNvJm+oew3tJ9+KdA7cBs/7IjNacpxN83bxoxSRwNi/2zEa6y8tGbuQ+/GI7XkXM9gs&#10;8VAV2JcFyFP7q1ysntd0/RM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C0uDeL+AEAAO4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sidR="00B75DA3">
      <w:rPr>
        <w:rFonts w:ascii="Tahoma" w:eastAsia="Tahoma" w:hAnsi="Tahoma" w:cs="Tahoma"/>
        <w:sz w:val="20"/>
        <w:szCs w:val="20"/>
      </w:rPr>
      <w:t>6</w:t>
    </w:r>
    <w:r w:rsidRPr="007807B6">
      <w:rPr>
        <w:rFonts w:ascii="Tahoma" w:eastAsia="Tahoma" w:hAnsi="Tahoma" w:cs="Tahoma"/>
        <w:sz w:val="20"/>
        <w:szCs w:val="20"/>
      </w:rPr>
      <w:tab/>
    </w:r>
    <w:r w:rsidRPr="007807B6">
      <w:rPr>
        <w:rFonts w:ascii="Tahoma" w:eastAsia="Tahoma" w:hAnsi="Tahoma" w:cs="Tahoma"/>
        <w:sz w:val="20"/>
        <w:szCs w:val="20"/>
      </w:rPr>
      <w:tab/>
    </w:r>
  </w:p>
  <w:p w14:paraId="1E45C7AF" w14:textId="77777777" w:rsidR="00C0305C" w:rsidRDefault="00C0305C" w:rsidP="005511FA">
    <w:pPr>
      <w:pStyle w:val="Footer"/>
    </w:pPr>
  </w:p>
  <w:p w14:paraId="3C1D7807" w14:textId="77777777" w:rsidR="005511FA" w:rsidRDefault="005511FA" w:rsidP="005511FA">
    <w:pPr>
      <w:pStyle w:val="Footer"/>
    </w:pPr>
  </w:p>
  <w:p w14:paraId="51926667" w14:textId="77777777" w:rsidR="005511FA" w:rsidRPr="005511FA" w:rsidRDefault="005511FA" w:rsidP="00551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1C1DD" w14:textId="77777777" w:rsidR="005A13E0" w:rsidRDefault="005A1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989C" w14:textId="77777777" w:rsidR="00B75DA3" w:rsidRPr="000B0AD8" w:rsidRDefault="00B75DA3" w:rsidP="00B75DA3">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fi-FI"/>
      </w:rPr>
    </w:pPr>
    <w:r w:rsidRPr="000B0AD8">
      <w:rPr>
        <w:rFonts w:asciiTheme="minorHAnsi" w:eastAsia="Arial" w:hAnsiTheme="minorHAnsi" w:cstheme="minorHAnsi"/>
        <w:i/>
        <w:color w:val="000000"/>
        <w:sz w:val="20"/>
        <w:szCs w:val="20"/>
        <w:lang w:val="fi-FI"/>
      </w:rPr>
      <w:t xml:space="preserve">Naskah Masuk: </w:t>
    </w:r>
    <w:r>
      <w:rPr>
        <w:rFonts w:asciiTheme="minorHAnsi" w:eastAsia="Arial" w:hAnsiTheme="minorHAnsi" w:cstheme="minorHAnsi"/>
        <w:i/>
        <w:color w:val="000000"/>
        <w:sz w:val="20"/>
        <w:szCs w:val="20"/>
        <w:lang w:val="fi-FI"/>
      </w:rPr>
      <w:t xml:space="preserve">06 </w:t>
    </w:r>
    <w:r w:rsidRPr="000B0AD8">
      <w:rPr>
        <w:rFonts w:asciiTheme="minorHAnsi" w:eastAsia="Arial" w:hAnsiTheme="minorHAnsi" w:cstheme="minorHAnsi"/>
        <w:i/>
        <w:color w:val="000000"/>
        <w:sz w:val="20"/>
        <w:szCs w:val="20"/>
        <w:lang w:val="fi-FI"/>
      </w:rPr>
      <w:t xml:space="preserve"> </w:t>
    </w:r>
    <w:r>
      <w:rPr>
        <w:rFonts w:asciiTheme="minorHAnsi" w:eastAsia="Arial" w:hAnsiTheme="minorHAnsi" w:cstheme="minorHAnsi"/>
        <w:i/>
        <w:color w:val="000000"/>
        <w:sz w:val="20"/>
        <w:szCs w:val="20"/>
        <w:lang w:val="fi-FI"/>
      </w:rPr>
      <w:t>Juni</w:t>
    </w:r>
    <w:r w:rsidRPr="000B0AD8">
      <w:rPr>
        <w:rFonts w:asciiTheme="minorHAnsi" w:eastAsia="Arial" w:hAnsiTheme="minorHAnsi" w:cstheme="minorHAnsi"/>
        <w:i/>
        <w:color w:val="000000"/>
        <w:sz w:val="20"/>
        <w:szCs w:val="20"/>
        <w:lang w:val="fi-FI"/>
      </w:rPr>
      <w:t xml:space="preserve"> 2026</w:t>
    </w:r>
    <w:r w:rsidRPr="0093327D">
      <w:rPr>
        <w:rFonts w:asciiTheme="minorHAnsi" w:eastAsia="Arial" w:hAnsiTheme="minorHAnsi" w:cstheme="minorHAnsi"/>
        <w:i/>
        <w:color w:val="000000"/>
        <w:sz w:val="20"/>
        <w:szCs w:val="20"/>
      </w:rPr>
      <w:t xml:space="preserve">;  </w:t>
    </w:r>
    <w:r w:rsidRPr="00E06443">
      <w:rPr>
        <w:rFonts w:asciiTheme="minorHAnsi" w:eastAsia="Arial" w:hAnsiTheme="minorHAnsi" w:cstheme="minorHAnsi"/>
        <w:i/>
        <w:color w:val="000000"/>
        <w:sz w:val="20"/>
        <w:szCs w:val="20"/>
      </w:rPr>
      <w:t>Revisi</w:t>
    </w:r>
    <w:r w:rsidRPr="000B0AD8">
      <w:rPr>
        <w:rFonts w:asciiTheme="minorHAnsi" w:eastAsia="Arial" w:hAnsiTheme="minorHAnsi" w:cstheme="minorHAnsi"/>
        <w:i/>
        <w:color w:val="000000"/>
        <w:sz w:val="20"/>
        <w:szCs w:val="20"/>
        <w:lang w:val="fi-FI"/>
      </w:rPr>
      <w:t xml:space="preserve">: </w:t>
    </w:r>
    <w:r>
      <w:rPr>
        <w:rFonts w:asciiTheme="minorHAnsi" w:eastAsia="Arial" w:hAnsiTheme="minorHAnsi" w:cstheme="minorHAnsi"/>
        <w:i/>
        <w:color w:val="000000"/>
        <w:sz w:val="20"/>
        <w:szCs w:val="20"/>
        <w:lang w:val="fi-FI"/>
      </w:rPr>
      <w:t>07 Juni</w:t>
    </w:r>
    <w:r w:rsidRPr="000B0AD8">
      <w:rPr>
        <w:rFonts w:asciiTheme="minorHAnsi" w:eastAsia="Arial" w:hAnsiTheme="minorHAnsi" w:cstheme="minorHAnsi"/>
        <w:i/>
        <w:color w:val="000000"/>
        <w:sz w:val="20"/>
        <w:szCs w:val="20"/>
        <w:lang w:val="fi-FI"/>
      </w:rPr>
      <w:t xml:space="preserve"> 2026</w:t>
    </w:r>
    <w:r w:rsidRPr="0093327D">
      <w:rPr>
        <w:rFonts w:asciiTheme="minorHAnsi" w:eastAsia="Arial" w:hAnsiTheme="minorHAnsi" w:cstheme="minorHAnsi"/>
        <w:i/>
        <w:color w:val="000000"/>
        <w:sz w:val="20"/>
        <w:szCs w:val="20"/>
      </w:rPr>
      <w:t xml:space="preserve">;  </w:t>
    </w:r>
    <w:r w:rsidRPr="000B0AD8">
      <w:rPr>
        <w:rFonts w:asciiTheme="minorHAnsi" w:eastAsia="Arial" w:hAnsiTheme="minorHAnsi" w:cstheme="minorHAnsi"/>
        <w:i/>
        <w:color w:val="000000"/>
        <w:sz w:val="20"/>
        <w:szCs w:val="20"/>
        <w:lang w:val="fi-FI"/>
      </w:rPr>
      <w:t xml:space="preserve">Diterima: </w:t>
    </w:r>
    <w:r>
      <w:rPr>
        <w:rFonts w:asciiTheme="minorHAnsi" w:eastAsia="Arial" w:hAnsiTheme="minorHAnsi" w:cstheme="minorHAnsi"/>
        <w:i/>
        <w:color w:val="000000"/>
        <w:sz w:val="20"/>
        <w:szCs w:val="20"/>
        <w:lang w:val="fi-FI"/>
      </w:rPr>
      <w:t>07</w:t>
    </w:r>
    <w:r w:rsidRPr="000B0AD8">
      <w:rPr>
        <w:rFonts w:asciiTheme="minorHAnsi" w:eastAsia="Arial" w:hAnsiTheme="minorHAnsi" w:cstheme="minorHAnsi"/>
        <w:i/>
        <w:color w:val="000000"/>
        <w:sz w:val="20"/>
        <w:szCs w:val="20"/>
        <w:lang w:val="fi-FI"/>
      </w:rPr>
      <w:t xml:space="preserve"> </w:t>
    </w:r>
    <w:r>
      <w:rPr>
        <w:rFonts w:asciiTheme="minorHAnsi" w:eastAsia="Arial" w:hAnsiTheme="minorHAnsi" w:cstheme="minorHAnsi"/>
        <w:i/>
        <w:color w:val="000000"/>
        <w:sz w:val="20"/>
        <w:szCs w:val="20"/>
        <w:lang w:val="fi-FI"/>
      </w:rPr>
      <w:t>Juni</w:t>
    </w:r>
    <w:r w:rsidRPr="000B0AD8">
      <w:rPr>
        <w:rFonts w:asciiTheme="minorHAnsi" w:eastAsia="Arial" w:hAnsiTheme="minorHAnsi" w:cstheme="minorHAnsi"/>
        <w:i/>
        <w:color w:val="000000"/>
        <w:sz w:val="20"/>
        <w:szCs w:val="20"/>
        <w:lang w:val="fi-FI"/>
      </w:rPr>
      <w:t xml:space="preserve">  </w:t>
    </w:r>
    <w:r w:rsidRPr="0093327D">
      <w:rPr>
        <w:rFonts w:asciiTheme="minorHAnsi" w:eastAsia="Arial" w:hAnsiTheme="minorHAnsi" w:cstheme="minorHAnsi"/>
        <w:i/>
        <w:color w:val="000000"/>
        <w:sz w:val="20"/>
        <w:szCs w:val="20"/>
      </w:rPr>
      <w:t>202</w:t>
    </w:r>
    <w:r w:rsidRPr="000B0AD8">
      <w:rPr>
        <w:rFonts w:asciiTheme="minorHAnsi" w:eastAsia="Arial" w:hAnsiTheme="minorHAnsi" w:cstheme="minorHAnsi"/>
        <w:i/>
        <w:color w:val="000000"/>
        <w:sz w:val="20"/>
        <w:szCs w:val="20"/>
        <w:lang w:val="fi-FI"/>
      </w:rPr>
      <w:t>6</w:t>
    </w:r>
    <w:r w:rsidRPr="0093327D">
      <w:rPr>
        <w:rFonts w:asciiTheme="minorHAnsi" w:eastAsia="Arial" w:hAnsiTheme="minorHAnsi" w:cstheme="minorHAnsi"/>
        <w:i/>
        <w:color w:val="000000"/>
        <w:sz w:val="20"/>
        <w:szCs w:val="20"/>
      </w:rPr>
      <w:t xml:space="preserve">;  </w:t>
    </w:r>
    <w:r w:rsidRPr="000B0AD8">
      <w:rPr>
        <w:rFonts w:asciiTheme="minorHAnsi" w:eastAsia="Arial" w:hAnsiTheme="minorHAnsi" w:cstheme="minorHAnsi"/>
        <w:i/>
        <w:color w:val="000000"/>
        <w:sz w:val="20"/>
        <w:szCs w:val="20"/>
        <w:lang w:val="fi-FI"/>
      </w:rPr>
      <w:t xml:space="preserve">; Terbit: </w:t>
    </w:r>
    <w:r>
      <w:rPr>
        <w:rFonts w:asciiTheme="minorHAnsi" w:eastAsia="Arial" w:hAnsiTheme="minorHAnsi" w:cstheme="minorHAnsi"/>
        <w:i/>
        <w:color w:val="000000"/>
        <w:sz w:val="20"/>
        <w:szCs w:val="20"/>
        <w:lang w:val="fi-FI"/>
      </w:rPr>
      <w:t xml:space="preserve">08 </w:t>
    </w:r>
    <w:r w:rsidRPr="000B0AD8">
      <w:rPr>
        <w:rFonts w:asciiTheme="minorHAnsi" w:eastAsia="Arial" w:hAnsiTheme="minorHAnsi" w:cstheme="minorHAnsi"/>
        <w:i/>
        <w:color w:val="000000"/>
        <w:sz w:val="20"/>
        <w:szCs w:val="20"/>
        <w:lang w:val="fi-FI"/>
      </w:rPr>
      <w:t xml:space="preserve"> Juni  </w:t>
    </w:r>
    <w:r w:rsidRPr="00A6534B">
      <w:rPr>
        <w:rFonts w:asciiTheme="minorHAnsi" w:eastAsia="Arial" w:hAnsiTheme="minorHAnsi" w:cstheme="minorHAnsi"/>
        <w:i/>
        <w:color w:val="000000"/>
        <w:sz w:val="20"/>
        <w:szCs w:val="20"/>
      </w:rPr>
      <w:t>202</w:t>
    </w:r>
    <w:r w:rsidRPr="000B0AD8">
      <w:rPr>
        <w:rFonts w:asciiTheme="minorHAnsi" w:eastAsia="Arial" w:hAnsiTheme="minorHAnsi" w:cstheme="minorHAnsi"/>
        <w:i/>
        <w:color w:val="000000"/>
        <w:sz w:val="20"/>
        <w:szCs w:val="20"/>
        <w:lang w:val="fi-FI"/>
      </w:rPr>
      <w:t xml:space="preserve">6. </w:t>
    </w:r>
  </w:p>
  <w:p w14:paraId="04544376" w14:textId="77777777" w:rsidR="00B75DA3" w:rsidRDefault="00B75DA3" w:rsidP="00B75DA3">
    <w:pPr>
      <w:pBdr>
        <w:top w:val="single" w:sz="4" w:space="1" w:color="000000"/>
        <w:left w:val="nil"/>
        <w:bottom w:val="nil"/>
        <w:right w:val="nil"/>
        <w:between w:val="nil"/>
      </w:pBdr>
      <w:tabs>
        <w:tab w:val="left" w:pos="2700"/>
      </w:tabs>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color w:val="000000"/>
        <w:sz w:val="20"/>
        <w:szCs w:val="20"/>
      </w:rPr>
      <w:tab/>
    </w:r>
  </w:p>
  <w:p w14:paraId="2FACAE7B" w14:textId="77777777" w:rsidR="00B75DA3" w:rsidRDefault="00B75DA3" w:rsidP="00B75DA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94080" behindDoc="0" locked="0" layoutInCell="1" hidden="0" allowOverlap="1" wp14:anchorId="60D00B09" wp14:editId="2844460B">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8B42F0C" w14:textId="77777777" w:rsidR="00B75DA3" w:rsidRDefault="00B75DA3" w:rsidP="00B75DA3">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0D00B09" id="Rectangle 658" o:spid="_x0000_s1026" style="position:absolute;margin-left:-5.45pt;margin-top:.55pt;width:45.75pt;height:15.85pt;rotation:180;flip:x;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08B42F0C" w14:textId="77777777" w:rsidR="00B75DA3" w:rsidRDefault="00B75DA3" w:rsidP="00B75DA3">
                    <w:pPr>
                      <w:spacing w:line="275" w:lineRule="auto"/>
                      <w:jc w:val="center"/>
                      <w:textDirection w:val="btLr"/>
                    </w:pPr>
                  </w:p>
                </w:txbxContent>
              </v:textbox>
              <w10:wrap anchorx="margin"/>
            </v:rect>
          </w:pict>
        </mc:Fallback>
      </mc:AlternateContent>
    </w:r>
  </w:p>
  <w:p w14:paraId="0EAE6965" w14:textId="77777777" w:rsidR="00B75DA3" w:rsidRDefault="00B75DA3" w:rsidP="00B75DA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540E10D2" w14:textId="77777777" w:rsidR="00B75DA3" w:rsidRPr="00D037C5" w:rsidRDefault="00B75DA3" w:rsidP="00B75DA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3AA82CEB" w14:textId="77777777" w:rsidR="00B75DA3" w:rsidRPr="001D4C3C" w:rsidRDefault="00B75DA3" w:rsidP="00B75DA3">
    <w:pPr>
      <w:pStyle w:val="Footer"/>
    </w:pPr>
  </w:p>
  <w:p w14:paraId="652E271F" w14:textId="77777777" w:rsidR="00BB77EA" w:rsidRPr="00B75DA3" w:rsidRDefault="00BB77EA" w:rsidP="00B75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F3638" w14:textId="77777777" w:rsidR="00E400B2" w:rsidRDefault="00E400B2">
      <w:pPr>
        <w:spacing w:after="0" w:line="240" w:lineRule="auto"/>
      </w:pPr>
      <w:r>
        <w:separator/>
      </w:r>
    </w:p>
  </w:footnote>
  <w:footnote w:type="continuationSeparator" w:id="0">
    <w:p w14:paraId="391DBA7F" w14:textId="77777777" w:rsidR="00E400B2" w:rsidRDefault="00E40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00441DAD"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349676C" w14:textId="62A3FB32" w:rsidR="00BB77EA" w:rsidRDefault="00CD7259"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CD7259">
      <w:rPr>
        <w:rFonts w:ascii="Arial" w:eastAsia="Arial" w:hAnsi="Arial" w:cs="Arial"/>
        <w:i/>
        <w:color w:val="000000"/>
        <w:sz w:val="18"/>
        <w:szCs w:val="18"/>
      </w:rPr>
      <w:t>ANALISIS PENGARUH KEBERADAAN TPA TERHADAP KENYAMANAN MASYARAKAT DISEKITAR LOKASI TPA TERJUN MARELAN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B513" w14:textId="77777777" w:rsidR="005A13E0" w:rsidRDefault="005A1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37706" w14:textId="77777777" w:rsidR="00B75DA3" w:rsidRDefault="00B75DA3" w:rsidP="00B75DA3">
    <w:pPr>
      <w:tabs>
        <w:tab w:val="center" w:pos="4680"/>
        <w:tab w:val="right" w:pos="9360"/>
      </w:tabs>
      <w:spacing w:after="0" w:line="240" w:lineRule="auto"/>
      <w:jc w:val="right"/>
      <w:rPr>
        <w:rFonts w:ascii="Cambria" w:eastAsia="Cambria" w:hAnsi="Cambria" w:cs="Cambria"/>
        <w:b/>
      </w:rPr>
    </w:pPr>
  </w:p>
  <w:p w14:paraId="0A69E37F" w14:textId="77777777" w:rsidR="00B75DA3" w:rsidRDefault="00B75DA3" w:rsidP="00B75DA3">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KAMPUS AKADEMIK PUBLISING</w:t>
    </w:r>
  </w:p>
  <w:p w14:paraId="1B492919" w14:textId="77777777" w:rsidR="00B75DA3" w:rsidRDefault="00B75DA3" w:rsidP="00B75DA3">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 xml:space="preserve">Jurnal Multidisiplin Ilmu Akademik </w:t>
    </w:r>
    <w:r>
      <w:rPr>
        <w:rFonts w:ascii="Cambria" w:eastAsia="Cambria" w:hAnsi="Cambria" w:cs="Cambria"/>
        <w:b/>
        <w:lang w:val="en-US"/>
      </w:rPr>
      <w:t>(JMIA)</w:t>
    </w:r>
  </w:p>
  <w:p w14:paraId="60BA7321" w14:textId="77777777" w:rsidR="00B75DA3" w:rsidRDefault="00B75DA3" w:rsidP="00B75DA3">
    <w:pPr>
      <w:tabs>
        <w:tab w:val="center" w:pos="4680"/>
        <w:tab w:val="right" w:pos="9360"/>
      </w:tabs>
      <w:spacing w:after="0" w:line="240" w:lineRule="auto"/>
      <w:jc w:val="right"/>
      <w:rPr>
        <w:rFonts w:ascii="Cambria" w:eastAsia="Cambria" w:hAnsi="Cambria" w:cs="Cambria"/>
        <w:b/>
        <w:lang w:val="en-US"/>
      </w:rPr>
    </w:pPr>
    <w:r>
      <w:rPr>
        <w:rFonts w:ascii="Cambria" w:hAnsi="Cambria"/>
        <w:b/>
      </w:rPr>
      <w:t xml:space="preserve"> Vol.</w:t>
    </w:r>
    <w:r>
      <w:rPr>
        <w:rFonts w:ascii="Cambria" w:hAnsi="Cambria"/>
        <w:b/>
        <w:lang w:val="en-US"/>
      </w:rPr>
      <w:t>3</w:t>
    </w:r>
    <w:r>
      <w:rPr>
        <w:rFonts w:ascii="Cambria" w:hAnsi="Cambria"/>
        <w:b/>
      </w:rPr>
      <w:t>, No.</w:t>
    </w:r>
    <w:r>
      <w:rPr>
        <w:rFonts w:ascii="Cambria" w:hAnsi="Cambria"/>
        <w:b/>
        <w:lang w:val="en-GB"/>
      </w:rPr>
      <w:t xml:space="preserve">3  Juni  </w:t>
    </w:r>
    <w:r>
      <w:rPr>
        <w:rFonts w:ascii="Cambria" w:hAnsi="Cambria"/>
        <w:b/>
      </w:rPr>
      <w:t>202</w:t>
    </w:r>
    <w:r>
      <w:rPr>
        <w:rFonts w:ascii="Cambria" w:hAnsi="Cambria"/>
        <w:b/>
        <w:lang w:val="en-US"/>
      </w:rPr>
      <w:t>6</w:t>
    </w:r>
  </w:p>
  <w:p w14:paraId="6BDFAB07" w14:textId="71DE9A0C" w:rsidR="00B75DA3" w:rsidRDefault="00B75DA3" w:rsidP="00B75DA3">
    <w:pPr>
      <w:tabs>
        <w:tab w:val="center" w:pos="4680"/>
        <w:tab w:val="right" w:pos="9360"/>
      </w:tabs>
      <w:spacing w:after="0" w:line="240" w:lineRule="auto"/>
      <w:jc w:val="right"/>
      <w:rPr>
        <w:rFonts w:ascii="Cambria" w:eastAsia="Cambria" w:hAnsi="Cambria" w:cs="Cambria"/>
        <w:lang w:val="en-US"/>
      </w:rPr>
    </w:pPr>
    <w:r>
      <w:rPr>
        <w:noProof/>
        <w:lang w:val="en-US"/>
      </w:rPr>
      <w:drawing>
        <wp:anchor distT="0" distB="0" distL="114300" distR="114300" simplePos="0" relativeHeight="251691008" behindDoc="0" locked="0" layoutInCell="1" allowOverlap="1" wp14:anchorId="15A77FCD" wp14:editId="55DE9804">
          <wp:simplePos x="0" y="0"/>
          <wp:positionH relativeFrom="column">
            <wp:posOffset>815340</wp:posOffset>
          </wp:positionH>
          <wp:positionV relativeFrom="paragraph">
            <wp:posOffset>121920</wp:posOffset>
          </wp:positionV>
          <wp:extent cx="83820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9984" behindDoc="0" locked="0" layoutInCell="1" allowOverlap="1" wp14:anchorId="577AA24D" wp14:editId="16B13D71">
          <wp:simplePos x="0" y="0"/>
          <wp:positionH relativeFrom="column">
            <wp:posOffset>-76200</wp:posOffset>
          </wp:positionH>
          <wp:positionV relativeFrom="paragraph">
            <wp:posOffset>95250</wp:posOffset>
          </wp:positionV>
          <wp:extent cx="809625" cy="3238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rPr>
      <w:t>e-ISSN:</w:t>
    </w:r>
    <w:r>
      <w:rPr>
        <w:rFonts w:ascii="Cambria" w:eastAsia="Cambria" w:hAnsi="Cambria" w:cs="Cambria"/>
        <w:lang w:val="en-US"/>
      </w:rPr>
      <w:t xml:space="preserve"> 3032-7377, p-ISSN :</w:t>
    </w:r>
    <w:r>
      <w:t xml:space="preserve"> </w:t>
    </w:r>
    <w:r>
      <w:rPr>
        <w:rFonts w:ascii="Cambria" w:eastAsia="Cambria" w:hAnsi="Cambria" w:cs="Cambria"/>
        <w:lang w:val="en-US"/>
      </w:rPr>
      <w:t>3032-7385</w:t>
    </w:r>
    <w:r>
      <w:rPr>
        <w:rFonts w:ascii="Cambria" w:eastAsia="Cambria" w:hAnsi="Cambria" w:cs="Cambria"/>
      </w:rPr>
      <w:t xml:space="preserve">, Hal </w:t>
    </w:r>
    <w:bookmarkStart w:id="1" w:name="_GoBack"/>
    <w:r w:rsidR="008F0978">
      <w:rPr>
        <w:rFonts w:ascii="Cambria" w:eastAsia="Cambria" w:hAnsi="Cambria" w:cs="Cambria"/>
        <w:lang w:val="en-US"/>
      </w:rPr>
      <w:t>1283</w:t>
    </w:r>
    <w:r>
      <w:rPr>
        <w:rFonts w:ascii="Cambria" w:eastAsia="Cambria" w:hAnsi="Cambria" w:cs="Cambria"/>
      </w:rPr>
      <w:t>-</w:t>
    </w:r>
    <w:r>
      <w:rPr>
        <w:rFonts w:ascii="Cambria" w:eastAsia="Cambria" w:hAnsi="Cambria" w:cs="Cambria"/>
        <w:lang w:val="en-US"/>
      </w:rPr>
      <w:t>1</w:t>
    </w:r>
    <w:r w:rsidR="005A13E0">
      <w:rPr>
        <w:rFonts w:ascii="Cambria" w:eastAsia="Cambria" w:hAnsi="Cambria" w:cs="Cambria"/>
        <w:lang w:val="en-US"/>
      </w:rPr>
      <w:t>2</w:t>
    </w:r>
    <w:r w:rsidR="008F0978">
      <w:rPr>
        <w:rFonts w:ascii="Cambria" w:eastAsia="Cambria" w:hAnsi="Cambria" w:cs="Cambria"/>
        <w:lang w:val="en-US"/>
      </w:rPr>
      <w:t>97</w:t>
    </w:r>
    <w:bookmarkEnd w:id="1"/>
  </w:p>
  <w:p w14:paraId="7EB116E9" w14:textId="30087A4A" w:rsidR="00B75DA3" w:rsidRPr="001D0562" w:rsidRDefault="00B75DA3" w:rsidP="00B75DA3">
    <w:pPr>
      <w:tabs>
        <w:tab w:val="center" w:pos="4680"/>
        <w:tab w:val="right" w:pos="9360"/>
      </w:tabs>
      <w:spacing w:after="0" w:line="240" w:lineRule="auto"/>
      <w:jc w:val="right"/>
      <w:rPr>
        <w:lang w:val="en-US"/>
      </w:rPr>
    </w:pPr>
    <w:r>
      <w:rPr>
        <w:rFonts w:ascii="Cambria" w:eastAsia="Cambria" w:hAnsi="Cambria" w:cs="Cambria"/>
      </w:rPr>
      <w:t xml:space="preserve">DOI </w:t>
    </w:r>
    <w:r>
      <w:rPr>
        <w:rFonts w:ascii="Cambria" w:eastAsia="Cambria" w:hAnsi="Cambria" w:cs="Cambria"/>
        <w:lang w:val="en-US"/>
      </w:rPr>
      <w:t xml:space="preserve">: </w:t>
    </w:r>
    <w:hyperlink r:id="rId3" w:history="1">
      <w:r w:rsidR="005A13E0">
        <w:rPr>
          <w:rStyle w:val="Hyperlink"/>
          <w:rFonts w:ascii="Segoe UI" w:hAnsi="Segoe UI" w:cs="Segoe UI"/>
          <w:color w:val="006798"/>
          <w:sz w:val="21"/>
          <w:szCs w:val="21"/>
          <w:shd w:val="clear" w:color="auto" w:fill="FFFFFF"/>
        </w:rPr>
        <w:t>https://doi.org/10.61722/jmia.v3i3.10754</w:t>
      </w:r>
    </w:hyperlink>
  </w:p>
  <w:p w14:paraId="6AC8F415" w14:textId="77777777" w:rsidR="00B75DA3" w:rsidRPr="00436855" w:rsidRDefault="00B75DA3" w:rsidP="00B75DA3">
    <w:pPr>
      <w:pStyle w:val="Header"/>
    </w:pPr>
    <w:r>
      <w:rPr>
        <w:noProof/>
        <w:lang w:val="en-US"/>
      </w:rPr>
      <mc:AlternateContent>
        <mc:Choice Requires="wps">
          <w:drawing>
            <wp:anchor distT="0" distB="0" distL="114300" distR="114300" simplePos="0" relativeHeight="251692032" behindDoc="0" locked="0" layoutInCell="1" allowOverlap="1" wp14:anchorId="288EC6E2" wp14:editId="087093BD">
              <wp:simplePos x="0" y="0"/>
              <wp:positionH relativeFrom="column">
                <wp:posOffset>-76200</wp:posOffset>
              </wp:positionH>
              <wp:positionV relativeFrom="paragraph">
                <wp:posOffset>165735</wp:posOffset>
              </wp:positionV>
              <wp:extent cx="550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50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1F193A"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05pt" to="4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56tgEAALcDAAAOAAAAZHJzL2Uyb0RvYy54bWysU02P0zAQvSPxHyzfadJCEYqa7qEruCCo&#10;WPgBXmfcWNgea2ya9t8zdtssArQHxMXxx3sz895MNncn78QRKFkMvVwuWikgaBxsOPTy29f3r95J&#10;kbIKg3IYoJdnSPJu+/LFZoodrHBENwAJDhJSN8VejjnHrmmSHsGrtMAIgR8NkleZj3RoBlITR/eu&#10;WbXt22ZCGiKhhpT49v7yKLc1vjGg82djEmThesm15bpSXR/L2mw3qjuQiqPV1zLUP1ThlQ2cdA51&#10;r7ISP8j+EcpbTZjQ5IVG36AxVkPVwGqW7W9qHkYVoWphc1KcbUr/L6z+dNyTsAP3ToqgPLfoIZOy&#10;hzGLHYbABiKJZfFpiqlj+C7s6XpKcU9F9MmQL1+WI07V2/PsLZyy0Hy5XrfrN2tugb69NU/ESCl/&#10;APSibHrpbCiyVaeOH1PmZAy9QfhQCrmkrrt8dlDALnwBw1I42evKrkMEO0fiqLj9w/cqg2NVZKEY&#10;69xMap8nXbGFBnWwZuLqeeKMrhkx5JnobUD6GzmfbqWaC/6m+qK1yH7E4VwbUe3g6aguXSe5jN+v&#10;50p/+t+2PwEAAP//AwBQSwMEFAAGAAgAAAAhAPdRmoTeAAAACQEAAA8AAABkcnMvZG93bnJldi54&#10;bWxMj0FLw0AQhe+C/2EZwYu0mwS3lphNEcFDBIW24nma3SbR7GzIbtP47x3xoMd583jve8Vmdr2Y&#10;7Bg6TxrSZQLCUu1NR42Gt/3TYg0iRCSDvSer4csG2JSXFwXmxp9pa6ddbASHUMhRQxvjkEsZ6tY6&#10;DEs/WOLf0Y8OI59jI82IZw53vcySZCUddsQNLQ72sbX15+7kNHxU71Wjbu664+utesb9pF5oqrS+&#10;vpof7kFEO8c/M/zgMzqUzHTwJzJB9BoWacZbooZslYJgw1opFg6/giwL+X9B+Q0AAP//AwBQSwEC&#10;LQAUAAYACAAAACEAtoM4kv4AAADhAQAAEwAAAAAAAAAAAAAAAAAAAAAAW0NvbnRlbnRfVHlwZXNd&#10;LnhtbFBLAQItABQABgAIAAAAIQA4/SH/1gAAAJQBAAALAAAAAAAAAAAAAAAAAC8BAABfcmVscy8u&#10;cmVsc1BLAQItABQABgAIAAAAIQDzRE56tgEAALcDAAAOAAAAAAAAAAAAAAAAAC4CAABkcnMvZTJv&#10;RG9jLnhtbFBLAQItABQABgAIAAAAIQD3UZqE3gAAAAkBAAAPAAAAAAAAAAAAAAAAABAEAABkcnMv&#10;ZG93bnJldi54bWxQSwUGAAAAAAQABADzAAAAGwUAAAAA&#10;" strokecolor="black [3200]" strokeweight="1.5pt">
              <v:stroke joinstyle="miter"/>
            </v:line>
          </w:pict>
        </mc:Fallback>
      </mc:AlternateContent>
    </w:r>
  </w:p>
  <w:p w14:paraId="1EB8FB57" w14:textId="4F5F119C" w:rsidR="00186B62" w:rsidRPr="00B75DA3" w:rsidRDefault="00186B62" w:rsidP="00B75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52572"/>
    <w:rsid w:val="00063C6B"/>
    <w:rsid w:val="000A129D"/>
    <w:rsid w:val="000C206C"/>
    <w:rsid w:val="000C7684"/>
    <w:rsid w:val="00165A23"/>
    <w:rsid w:val="00177A2F"/>
    <w:rsid w:val="00177EAE"/>
    <w:rsid w:val="00186B62"/>
    <w:rsid w:val="001A5FA5"/>
    <w:rsid w:val="001B3132"/>
    <w:rsid w:val="0025182A"/>
    <w:rsid w:val="002B2806"/>
    <w:rsid w:val="002C5475"/>
    <w:rsid w:val="002D44FA"/>
    <w:rsid w:val="002F29B1"/>
    <w:rsid w:val="003007AB"/>
    <w:rsid w:val="00301F1E"/>
    <w:rsid w:val="003407E9"/>
    <w:rsid w:val="003430C4"/>
    <w:rsid w:val="0035260C"/>
    <w:rsid w:val="00373D18"/>
    <w:rsid w:val="00383052"/>
    <w:rsid w:val="00390012"/>
    <w:rsid w:val="0039047B"/>
    <w:rsid w:val="003B2F89"/>
    <w:rsid w:val="003D3CCF"/>
    <w:rsid w:val="003D7073"/>
    <w:rsid w:val="003E5454"/>
    <w:rsid w:val="00417D2B"/>
    <w:rsid w:val="004358D5"/>
    <w:rsid w:val="004503E3"/>
    <w:rsid w:val="004745D0"/>
    <w:rsid w:val="004B1110"/>
    <w:rsid w:val="004D3C1C"/>
    <w:rsid w:val="004F56F6"/>
    <w:rsid w:val="005511FA"/>
    <w:rsid w:val="00581400"/>
    <w:rsid w:val="005A13E0"/>
    <w:rsid w:val="005D6029"/>
    <w:rsid w:val="005E4406"/>
    <w:rsid w:val="005F1257"/>
    <w:rsid w:val="006924EC"/>
    <w:rsid w:val="006D3AFE"/>
    <w:rsid w:val="006F4CFE"/>
    <w:rsid w:val="00737C26"/>
    <w:rsid w:val="00781F33"/>
    <w:rsid w:val="00790651"/>
    <w:rsid w:val="007C34D2"/>
    <w:rsid w:val="007E5B21"/>
    <w:rsid w:val="008031AB"/>
    <w:rsid w:val="008155F6"/>
    <w:rsid w:val="008A1AF0"/>
    <w:rsid w:val="008B4CE6"/>
    <w:rsid w:val="008C7218"/>
    <w:rsid w:val="008D316D"/>
    <w:rsid w:val="008F0978"/>
    <w:rsid w:val="0093327D"/>
    <w:rsid w:val="00964A57"/>
    <w:rsid w:val="00973946"/>
    <w:rsid w:val="009B6008"/>
    <w:rsid w:val="009F572D"/>
    <w:rsid w:val="00A23CDD"/>
    <w:rsid w:val="00A244EC"/>
    <w:rsid w:val="00A747C5"/>
    <w:rsid w:val="00AD1E3B"/>
    <w:rsid w:val="00AE6BFB"/>
    <w:rsid w:val="00AF214E"/>
    <w:rsid w:val="00AF3132"/>
    <w:rsid w:val="00B04C03"/>
    <w:rsid w:val="00B17825"/>
    <w:rsid w:val="00B27E19"/>
    <w:rsid w:val="00B42C53"/>
    <w:rsid w:val="00B67A65"/>
    <w:rsid w:val="00B75DA3"/>
    <w:rsid w:val="00BB176C"/>
    <w:rsid w:val="00BB29DA"/>
    <w:rsid w:val="00BB77EA"/>
    <w:rsid w:val="00BF6063"/>
    <w:rsid w:val="00C0305C"/>
    <w:rsid w:val="00C12D2C"/>
    <w:rsid w:val="00C247F1"/>
    <w:rsid w:val="00C56142"/>
    <w:rsid w:val="00C609E0"/>
    <w:rsid w:val="00C84731"/>
    <w:rsid w:val="00C9107C"/>
    <w:rsid w:val="00C9243F"/>
    <w:rsid w:val="00CA0839"/>
    <w:rsid w:val="00CD7259"/>
    <w:rsid w:val="00CE33E7"/>
    <w:rsid w:val="00D1068F"/>
    <w:rsid w:val="00D525ED"/>
    <w:rsid w:val="00D67EAB"/>
    <w:rsid w:val="00D7201E"/>
    <w:rsid w:val="00D86F5F"/>
    <w:rsid w:val="00D9173B"/>
    <w:rsid w:val="00DB7B64"/>
    <w:rsid w:val="00DC682B"/>
    <w:rsid w:val="00DF39EF"/>
    <w:rsid w:val="00DF7A7E"/>
    <w:rsid w:val="00E06443"/>
    <w:rsid w:val="00E12115"/>
    <w:rsid w:val="00E400B2"/>
    <w:rsid w:val="00E96CC6"/>
    <w:rsid w:val="00EA435E"/>
    <w:rsid w:val="00EF283F"/>
    <w:rsid w:val="00EF3AA6"/>
    <w:rsid w:val="00F4399A"/>
    <w:rsid w:val="00F96B7E"/>
    <w:rsid w:val="00FA23EB"/>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CD7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722/jmia.v3i3.10754"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18713</Words>
  <Characters>106670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Microsoft account</cp:lastModifiedBy>
  <cp:revision>2</cp:revision>
  <dcterms:created xsi:type="dcterms:W3CDTF">2026-06-09T13:51:00Z</dcterms:created>
  <dcterms:modified xsi:type="dcterms:W3CDTF">2026-06-09T13:51:00Z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